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1F" w:rsidRDefault="00BF7B94" w:rsidP="00F6401F">
      <w:pPr>
        <w:spacing w:after="0"/>
        <w:ind w:firstLine="720"/>
        <w:jc w:val="center"/>
        <w:rPr>
          <w:b/>
          <w:sz w:val="28"/>
          <w:szCs w:val="28"/>
        </w:rPr>
      </w:pPr>
      <w:r w:rsidRPr="00DA2359">
        <w:rPr>
          <w:b/>
          <w:sz w:val="28"/>
          <w:szCs w:val="28"/>
        </w:rPr>
        <w:t>Exploring the Baccalaureate Origin of Domestic Ph.D. S</w:t>
      </w:r>
      <w:r w:rsidR="00C014D2" w:rsidRPr="00DA2359">
        <w:rPr>
          <w:b/>
          <w:sz w:val="28"/>
          <w:szCs w:val="28"/>
        </w:rPr>
        <w:t>tudents</w:t>
      </w:r>
      <w:r w:rsidRPr="00DA2359">
        <w:rPr>
          <w:b/>
          <w:sz w:val="28"/>
          <w:szCs w:val="28"/>
        </w:rPr>
        <w:t xml:space="preserve"> in Computing Fields</w:t>
      </w:r>
    </w:p>
    <w:p w:rsidR="00897319" w:rsidRDefault="00897319" w:rsidP="00DA2359">
      <w:pPr>
        <w:spacing w:after="0"/>
        <w:ind w:firstLine="720"/>
        <w:jc w:val="center"/>
        <w:rPr>
          <w:sz w:val="24"/>
          <w:szCs w:val="24"/>
        </w:rPr>
      </w:pPr>
    </w:p>
    <w:p w:rsidR="00897319" w:rsidRDefault="00897319" w:rsidP="00DA2359">
      <w:pPr>
        <w:spacing w:after="0"/>
        <w:ind w:firstLine="720"/>
        <w:jc w:val="center"/>
        <w:rPr>
          <w:sz w:val="24"/>
          <w:szCs w:val="24"/>
        </w:rPr>
        <w:sectPr w:rsidR="00897319" w:rsidSect="00BC77AA">
          <w:headerReference w:type="default" r:id="rId8"/>
          <w:pgSz w:w="12240" w:h="15840"/>
          <w:pgMar w:top="1440" w:right="1440" w:bottom="1440" w:left="1440" w:header="720" w:footer="720" w:gutter="0"/>
          <w:cols w:space="720"/>
          <w:docGrid w:linePitch="360"/>
        </w:sectPr>
      </w:pPr>
    </w:p>
    <w:p w:rsidR="00897319" w:rsidRPr="00897319" w:rsidRDefault="00DE46E6" w:rsidP="002E5C1F">
      <w:pPr>
        <w:spacing w:after="0"/>
        <w:ind w:left="-360" w:firstLine="270"/>
        <w:jc w:val="center"/>
        <w:rPr>
          <w:szCs w:val="24"/>
        </w:rPr>
      </w:pPr>
      <w:r w:rsidRPr="00897319">
        <w:rPr>
          <w:szCs w:val="24"/>
        </w:rPr>
        <w:lastRenderedPageBreak/>
        <w:t xml:space="preserve">Susanne Hambrusch, </w:t>
      </w:r>
      <w:r w:rsidR="00897319" w:rsidRPr="00897319">
        <w:rPr>
          <w:szCs w:val="24"/>
        </w:rPr>
        <w:t>Purdue University and NSF</w:t>
      </w:r>
    </w:p>
    <w:p w:rsidR="00897319" w:rsidRDefault="00DE46E6" w:rsidP="002E5C1F">
      <w:pPr>
        <w:spacing w:after="0"/>
        <w:ind w:left="-360" w:firstLine="270"/>
        <w:jc w:val="center"/>
        <w:rPr>
          <w:szCs w:val="24"/>
          <w:shd w:val="clear" w:color="auto" w:fill="FFFFFF"/>
        </w:rPr>
      </w:pPr>
      <w:r w:rsidRPr="00897319">
        <w:rPr>
          <w:szCs w:val="24"/>
        </w:rPr>
        <w:t xml:space="preserve">Ran </w:t>
      </w:r>
      <w:r w:rsidRPr="00897319">
        <w:rPr>
          <w:szCs w:val="24"/>
          <w:shd w:val="clear" w:color="auto" w:fill="FFFFFF"/>
        </w:rPr>
        <w:t xml:space="preserve">Libeskind-Hadas, </w:t>
      </w:r>
      <w:r w:rsidR="00897319" w:rsidRPr="00897319">
        <w:rPr>
          <w:szCs w:val="24"/>
          <w:shd w:val="clear" w:color="auto" w:fill="FFFFFF"/>
        </w:rPr>
        <w:t>Harvey Mudd Colleg</w:t>
      </w:r>
      <w:r w:rsidR="00897319">
        <w:rPr>
          <w:szCs w:val="24"/>
          <w:shd w:val="clear" w:color="auto" w:fill="FFFFFF"/>
        </w:rPr>
        <w:t>e</w:t>
      </w:r>
    </w:p>
    <w:p w:rsidR="00897319" w:rsidRPr="00897319" w:rsidRDefault="00DE46E6" w:rsidP="002E5C1F">
      <w:pPr>
        <w:spacing w:after="0"/>
        <w:ind w:left="-360" w:firstLine="270"/>
        <w:jc w:val="center"/>
        <w:rPr>
          <w:szCs w:val="24"/>
          <w:shd w:val="clear" w:color="auto" w:fill="FFFFFF"/>
        </w:rPr>
      </w:pPr>
      <w:r w:rsidRPr="00897319">
        <w:rPr>
          <w:szCs w:val="24"/>
          <w:shd w:val="clear" w:color="auto" w:fill="FFFFFF"/>
        </w:rPr>
        <w:t xml:space="preserve">Fen Zhao, </w:t>
      </w:r>
      <w:r w:rsidR="00897319">
        <w:t>AAAS Fellow, NSF</w:t>
      </w:r>
    </w:p>
    <w:p w:rsidR="00897319" w:rsidRPr="00897319" w:rsidRDefault="00DE46E6" w:rsidP="002E5C1F">
      <w:pPr>
        <w:spacing w:after="0"/>
        <w:ind w:left="-360" w:firstLine="270"/>
        <w:jc w:val="center"/>
        <w:rPr>
          <w:szCs w:val="24"/>
          <w:shd w:val="clear" w:color="auto" w:fill="FFFFFF"/>
        </w:rPr>
      </w:pPr>
      <w:r w:rsidRPr="00897319">
        <w:rPr>
          <w:szCs w:val="24"/>
          <w:shd w:val="clear" w:color="auto" w:fill="FFFFFF"/>
        </w:rPr>
        <w:t xml:space="preserve">David Rabson, </w:t>
      </w:r>
      <w:r w:rsidR="00897319">
        <w:t>AAAS Fellow, NSF</w:t>
      </w:r>
      <w:r w:rsidR="002E5C1F">
        <w:t xml:space="preserve"> and University of South Florida</w:t>
      </w:r>
    </w:p>
    <w:p w:rsidR="00897319" w:rsidRPr="00897319" w:rsidRDefault="00DE46E6" w:rsidP="002E5C1F">
      <w:pPr>
        <w:spacing w:after="0"/>
        <w:ind w:left="-360" w:firstLine="270"/>
        <w:jc w:val="center"/>
        <w:rPr>
          <w:szCs w:val="24"/>
        </w:rPr>
      </w:pPr>
      <w:r w:rsidRPr="00897319">
        <w:rPr>
          <w:szCs w:val="24"/>
        </w:rPr>
        <w:t xml:space="preserve">Amy Csizmar Dalal, </w:t>
      </w:r>
      <w:r w:rsidR="00897319" w:rsidRPr="00897319">
        <w:rPr>
          <w:szCs w:val="24"/>
        </w:rPr>
        <w:t>Carleton College</w:t>
      </w:r>
    </w:p>
    <w:p w:rsidR="00897319" w:rsidRDefault="00DE46E6" w:rsidP="002E5C1F">
      <w:pPr>
        <w:spacing w:after="0"/>
        <w:ind w:left="-360" w:firstLine="270"/>
        <w:jc w:val="center"/>
        <w:rPr>
          <w:szCs w:val="24"/>
        </w:rPr>
      </w:pPr>
      <w:r w:rsidRPr="00897319">
        <w:rPr>
          <w:szCs w:val="24"/>
        </w:rPr>
        <w:t xml:space="preserve">Ed Fox, </w:t>
      </w:r>
      <w:r w:rsidR="007668E3">
        <w:rPr>
          <w:szCs w:val="24"/>
        </w:rPr>
        <w:t>Virginia Tech</w:t>
      </w:r>
    </w:p>
    <w:p w:rsidR="00897319" w:rsidRPr="00897319" w:rsidRDefault="00DE46E6" w:rsidP="002E5C1F">
      <w:pPr>
        <w:spacing w:after="0"/>
        <w:ind w:left="-360" w:firstLine="270"/>
        <w:jc w:val="center"/>
        <w:rPr>
          <w:szCs w:val="24"/>
        </w:rPr>
      </w:pPr>
      <w:r w:rsidRPr="00897319">
        <w:rPr>
          <w:szCs w:val="24"/>
        </w:rPr>
        <w:t xml:space="preserve">Charles Isbell, </w:t>
      </w:r>
      <w:r w:rsidR="00897319" w:rsidRPr="00897319">
        <w:rPr>
          <w:szCs w:val="24"/>
        </w:rPr>
        <w:t xml:space="preserve">Georgia </w:t>
      </w:r>
      <w:r w:rsidR="002E5C1F">
        <w:rPr>
          <w:szCs w:val="24"/>
        </w:rPr>
        <w:t>Institute of Technology</w:t>
      </w:r>
    </w:p>
    <w:p w:rsidR="00897319" w:rsidRPr="00897319" w:rsidRDefault="00DE46E6" w:rsidP="002E5C1F">
      <w:pPr>
        <w:spacing w:after="0"/>
        <w:ind w:left="-360" w:firstLine="270"/>
        <w:jc w:val="center"/>
        <w:rPr>
          <w:szCs w:val="24"/>
        </w:rPr>
      </w:pPr>
      <w:r w:rsidRPr="00897319">
        <w:rPr>
          <w:szCs w:val="24"/>
        </w:rPr>
        <w:t>Valerie Taylor</w:t>
      </w:r>
      <w:r w:rsidR="00897319" w:rsidRPr="00897319">
        <w:rPr>
          <w:szCs w:val="24"/>
        </w:rPr>
        <w:t>, Texas A&amp;M University</w:t>
      </w:r>
    </w:p>
    <w:p w:rsidR="00897319" w:rsidRDefault="00897319" w:rsidP="00D34A96">
      <w:pPr>
        <w:spacing w:after="0"/>
        <w:rPr>
          <w:b/>
          <w:sz w:val="28"/>
          <w:szCs w:val="28"/>
        </w:rPr>
        <w:sectPr w:rsidR="00897319" w:rsidSect="002E5C1F">
          <w:type w:val="continuous"/>
          <w:pgSz w:w="12240" w:h="15840"/>
          <w:pgMar w:top="1440" w:right="1440" w:bottom="1440" w:left="1350" w:header="720" w:footer="720" w:gutter="0"/>
          <w:cols w:space="720"/>
          <w:docGrid w:linePitch="360"/>
        </w:sectPr>
      </w:pPr>
    </w:p>
    <w:p w:rsidR="00897319" w:rsidRDefault="00897319" w:rsidP="00D34A96">
      <w:pPr>
        <w:spacing w:after="0"/>
        <w:rPr>
          <w:b/>
          <w:sz w:val="28"/>
          <w:szCs w:val="28"/>
        </w:rPr>
      </w:pPr>
    </w:p>
    <w:p w:rsidR="00DA2359" w:rsidRPr="00897319" w:rsidRDefault="00DA2359" w:rsidP="00897319">
      <w:pPr>
        <w:pStyle w:val="ListParagraph"/>
        <w:numPr>
          <w:ilvl w:val="0"/>
          <w:numId w:val="21"/>
        </w:numPr>
        <w:spacing w:after="0"/>
        <w:rPr>
          <w:b/>
          <w:sz w:val="28"/>
          <w:szCs w:val="28"/>
        </w:rPr>
      </w:pPr>
      <w:r w:rsidRPr="00897319">
        <w:rPr>
          <w:b/>
          <w:sz w:val="28"/>
          <w:szCs w:val="28"/>
        </w:rPr>
        <w:t>Introduction</w:t>
      </w:r>
    </w:p>
    <w:p w:rsidR="002F1DFE" w:rsidRPr="002F1DFE" w:rsidRDefault="002F1DFE" w:rsidP="00D34A96">
      <w:pPr>
        <w:spacing w:after="0"/>
        <w:rPr>
          <w:b/>
          <w:u w:val="single"/>
        </w:rPr>
      </w:pPr>
    </w:p>
    <w:p w:rsidR="001A53AA" w:rsidRDefault="00317699" w:rsidP="001A53AA">
      <w:r>
        <w:t>Increasing the number of US students entering graduate school and receiv</w:t>
      </w:r>
      <w:r w:rsidR="005043FC">
        <w:t>ing a Ph.D. in computer science</w:t>
      </w:r>
      <w:r>
        <w:t xml:space="preserve"> is a goal as well as a challenge for many US </w:t>
      </w:r>
      <w:r w:rsidR="005E2D66">
        <w:t xml:space="preserve">Ph.D. granting </w:t>
      </w:r>
      <w:r w:rsidR="00D11184">
        <w:t>institutions</w:t>
      </w:r>
      <w:r w:rsidR="00BF7B94">
        <w:t xml:space="preserve">.  Although the total </w:t>
      </w:r>
      <w:r w:rsidR="00F608F9">
        <w:t xml:space="preserve">computer science </w:t>
      </w:r>
      <w:r w:rsidR="00BF7B94">
        <w:t xml:space="preserve">Ph.D. production in the U.S. </w:t>
      </w:r>
      <w:r w:rsidR="00812088">
        <w:t>has</w:t>
      </w:r>
      <w:r w:rsidR="00A47468">
        <w:t xml:space="preserve"> </w:t>
      </w:r>
      <w:r w:rsidR="00BF7B94">
        <w:t>doubled between 2000 and 2010 (</w:t>
      </w:r>
      <w:r w:rsidR="00C3274D">
        <w:t>Figure 1)</w:t>
      </w:r>
      <w:r w:rsidR="005E2D66">
        <w:t>, the</w:t>
      </w:r>
      <w:r>
        <w:t xml:space="preserve"> </w:t>
      </w:r>
      <w:r w:rsidR="00BF7B94">
        <w:t xml:space="preserve">fraction </w:t>
      </w:r>
      <w:r w:rsidR="00E83747">
        <w:t>of domestic students</w:t>
      </w:r>
      <w:r w:rsidR="00F608F9">
        <w:t xml:space="preserve"> receiving a Ph.D. from </w:t>
      </w:r>
      <w:r w:rsidR="00204A08">
        <w:t>U.S.</w:t>
      </w:r>
      <w:r>
        <w:t xml:space="preserve"> graduate programs has </w:t>
      </w:r>
      <w:r w:rsidR="005E2D66">
        <w:t xml:space="preserve">been below 50% since 2003 </w:t>
      </w:r>
      <w:r w:rsidR="00C3274D">
        <w:t>(Figure 2)</w:t>
      </w:r>
      <w:r>
        <w:t xml:space="preserve">. </w:t>
      </w:r>
      <w:r w:rsidR="008612EE">
        <w:t xml:space="preserve">  </w:t>
      </w:r>
    </w:p>
    <w:p w:rsidR="00F608F9" w:rsidRDefault="001D0E35" w:rsidP="001D0E35">
      <w:pPr>
        <w:jc w:val="center"/>
      </w:pPr>
      <w:r w:rsidRPr="001D0E35">
        <w:rPr>
          <w:noProof/>
        </w:rPr>
        <w:drawing>
          <wp:inline distT="0" distB="0" distL="0" distR="0">
            <wp:extent cx="5243945" cy="3068782"/>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401F" w:rsidRPr="00897319" w:rsidRDefault="00F608F9" w:rsidP="00897319">
      <w:pPr>
        <w:pStyle w:val="Caption"/>
        <w:jc w:val="center"/>
        <w:rPr>
          <w:b w:val="0"/>
          <w:color w:val="auto"/>
          <w:sz w:val="22"/>
        </w:rPr>
      </w:pPr>
      <w:r w:rsidRPr="00F608F9">
        <w:rPr>
          <w:color w:val="auto"/>
          <w:sz w:val="22"/>
        </w:rPr>
        <w:t xml:space="preserve">Figure </w:t>
      </w:r>
      <w:r w:rsidR="00B56045" w:rsidRPr="00F608F9">
        <w:rPr>
          <w:color w:val="auto"/>
          <w:sz w:val="22"/>
        </w:rPr>
        <w:fldChar w:fldCharType="begin"/>
      </w:r>
      <w:r w:rsidRPr="00F608F9">
        <w:rPr>
          <w:color w:val="auto"/>
          <w:sz w:val="22"/>
        </w:rPr>
        <w:instrText xml:space="preserve"> SEQ Figure \* ARABIC </w:instrText>
      </w:r>
      <w:r w:rsidR="00B56045" w:rsidRPr="00F608F9">
        <w:rPr>
          <w:color w:val="auto"/>
          <w:sz w:val="22"/>
        </w:rPr>
        <w:fldChar w:fldCharType="separate"/>
      </w:r>
      <w:r w:rsidR="00006493">
        <w:rPr>
          <w:noProof/>
          <w:color w:val="auto"/>
          <w:sz w:val="22"/>
        </w:rPr>
        <w:t>1</w:t>
      </w:r>
      <w:r w:rsidR="00B56045" w:rsidRPr="00F608F9">
        <w:rPr>
          <w:color w:val="auto"/>
          <w:sz w:val="22"/>
        </w:rPr>
        <w:fldChar w:fldCharType="end"/>
      </w:r>
      <w:r w:rsidRPr="00F608F9">
        <w:rPr>
          <w:color w:val="auto"/>
          <w:sz w:val="22"/>
        </w:rPr>
        <w:t>:</w:t>
      </w:r>
      <w:r w:rsidRPr="00F608F9">
        <w:rPr>
          <w:b w:val="0"/>
          <w:color w:val="auto"/>
          <w:sz w:val="22"/>
        </w:rPr>
        <w:t xml:space="preserve"> Tot</w:t>
      </w:r>
      <w:r>
        <w:rPr>
          <w:b w:val="0"/>
          <w:color w:val="auto"/>
          <w:sz w:val="22"/>
        </w:rPr>
        <w:t xml:space="preserve">al Ph.D. production </w:t>
      </w:r>
      <w:r w:rsidR="00567563">
        <w:rPr>
          <w:b w:val="0"/>
          <w:color w:val="auto"/>
          <w:sz w:val="22"/>
        </w:rPr>
        <w:t>in Computer Science from 1985</w:t>
      </w:r>
      <w:r>
        <w:rPr>
          <w:b w:val="0"/>
          <w:color w:val="auto"/>
          <w:sz w:val="22"/>
        </w:rPr>
        <w:t xml:space="preserve"> </w:t>
      </w:r>
      <w:r w:rsidR="00567563">
        <w:rPr>
          <w:b w:val="0"/>
          <w:color w:val="auto"/>
          <w:sz w:val="22"/>
        </w:rPr>
        <w:t>to</w:t>
      </w:r>
      <w:r>
        <w:rPr>
          <w:b w:val="0"/>
          <w:color w:val="auto"/>
          <w:sz w:val="22"/>
        </w:rPr>
        <w:t xml:space="preserve"> 2010</w:t>
      </w:r>
    </w:p>
    <w:p w:rsidR="00BD60DD" w:rsidRDefault="00BD60DD" w:rsidP="00BD60DD">
      <w:pPr>
        <w:rPr>
          <w:rFonts w:ascii="Calibri" w:eastAsia="+mn-ea" w:hAnsi="Calibri" w:cs="+mn-cs"/>
          <w:color w:val="000000"/>
          <w:kern w:val="24"/>
        </w:rPr>
      </w:pPr>
      <w:r w:rsidRPr="00CE11DB">
        <w:t xml:space="preserve">The goal of the Pipeline Project of CRA-E (PiPE) is to better understand the pipeline </w:t>
      </w:r>
      <w:r w:rsidR="002C7D3E">
        <w:t xml:space="preserve">of </w:t>
      </w:r>
      <w:r>
        <w:t xml:space="preserve">US citizens and Permanent Residents (henceforth termed </w:t>
      </w:r>
      <w:r w:rsidRPr="00204A08">
        <w:rPr>
          <w:i/>
        </w:rPr>
        <w:t>domestic students</w:t>
      </w:r>
      <w:r>
        <w:t>)</w:t>
      </w:r>
      <w:r w:rsidR="002C7D3E">
        <w:t xml:space="preserve"> who</w:t>
      </w:r>
      <w:r>
        <w:t xml:space="preserve"> apply, matriculate, and graduate from </w:t>
      </w:r>
      <w:r>
        <w:lastRenderedPageBreak/>
        <w:t>doctoral programs</w:t>
      </w:r>
      <w:r w:rsidRPr="00CE11DB">
        <w:t xml:space="preserve"> in computer science. </w:t>
      </w:r>
      <w:r>
        <w:t xml:space="preserve"> </w:t>
      </w:r>
      <w:r w:rsidRPr="00CE11DB">
        <w:t>This article is the first o</w:t>
      </w:r>
      <w:r>
        <w:t>f two articles from CRA-E examining this issue</w:t>
      </w:r>
      <w:r w:rsidRPr="00CE11DB">
        <w:t>.</w:t>
      </w:r>
      <w:r w:rsidRPr="00CE11DB">
        <w:rPr>
          <w:rFonts w:ascii="Calibri" w:eastAsia="+mn-ea" w:hAnsi="Calibri" w:cs="+mn-cs"/>
          <w:color w:val="000000"/>
          <w:kern w:val="24"/>
        </w:rPr>
        <w:t xml:space="preserve"> </w:t>
      </w:r>
    </w:p>
    <w:p w:rsidR="001A53AA" w:rsidRDefault="002D2ECA" w:rsidP="001A53AA">
      <w:r>
        <w:t>This article provides an initial examination of</w:t>
      </w:r>
      <w:r w:rsidR="002C7D3E">
        <w:t xml:space="preserve"> </w:t>
      </w:r>
      <w:r w:rsidR="001A53AA">
        <w:t>t</w:t>
      </w:r>
      <w:r w:rsidR="00EC3819">
        <w:t xml:space="preserve">he </w:t>
      </w:r>
      <w:r w:rsidR="00C935BB">
        <w:t xml:space="preserve">baccalaureate origins of </w:t>
      </w:r>
      <w:r w:rsidR="002C7D3E">
        <w:t xml:space="preserve">domestic </w:t>
      </w:r>
      <w:r w:rsidR="001A53AA">
        <w:t xml:space="preserve">students </w:t>
      </w:r>
      <w:r w:rsidR="00C935BB">
        <w:t xml:space="preserve">who </w:t>
      </w:r>
      <w:r>
        <w:t>have matriculated to Ph.D</w:t>
      </w:r>
      <w:r w:rsidR="001A53AA">
        <w:t>.</w:t>
      </w:r>
      <w:r>
        <w:t xml:space="preserve"> programs</w:t>
      </w:r>
      <w:r w:rsidR="001A53AA">
        <w:t xml:space="preserve"> </w:t>
      </w:r>
      <w:r w:rsidR="00EC3819">
        <w:t xml:space="preserve">in computer science. </w:t>
      </w:r>
      <w:r>
        <w:t xml:space="preserve"> We hope that t</w:t>
      </w:r>
      <w:r w:rsidR="00EC3819">
        <w:t xml:space="preserve">rends and patterns in these data </w:t>
      </w:r>
      <w:r w:rsidR="00C935BB">
        <w:t>can be useful</w:t>
      </w:r>
      <w:r w:rsidR="00EC3819">
        <w:t xml:space="preserve"> both</w:t>
      </w:r>
      <w:r w:rsidR="00C935BB">
        <w:t xml:space="preserve"> in recruiting and</w:t>
      </w:r>
      <w:r w:rsidR="00EC3819">
        <w:t xml:space="preserve">, ultimately, in </w:t>
      </w:r>
      <w:r w:rsidR="001A53AA">
        <w:t>improving the quality and quantity of the domestic Ph.D. pipeline.</w:t>
      </w:r>
    </w:p>
    <w:p w:rsidR="00F6401F" w:rsidRDefault="00F6401F" w:rsidP="005F5365">
      <w:pPr>
        <w:jc w:val="center"/>
      </w:pPr>
      <w:r w:rsidRPr="00F6401F">
        <w:rPr>
          <w:noProof/>
        </w:rPr>
        <w:drawing>
          <wp:inline distT="0" distB="0" distL="0" distR="0">
            <wp:extent cx="5455920" cy="345186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E5A" w:rsidRDefault="00CE4E5A" w:rsidP="005F5365">
      <w:pPr>
        <w:pStyle w:val="Caption"/>
        <w:jc w:val="center"/>
        <w:rPr>
          <w:b w:val="0"/>
          <w:color w:val="auto"/>
          <w:sz w:val="22"/>
        </w:rPr>
      </w:pPr>
      <w:r w:rsidRPr="00CE4E5A">
        <w:rPr>
          <w:color w:val="auto"/>
          <w:sz w:val="22"/>
        </w:rPr>
        <w:t xml:space="preserve">Figure </w:t>
      </w:r>
      <w:r w:rsidR="00B56045" w:rsidRPr="00CE4E5A">
        <w:rPr>
          <w:color w:val="auto"/>
          <w:sz w:val="22"/>
        </w:rPr>
        <w:fldChar w:fldCharType="begin"/>
      </w:r>
      <w:r w:rsidRPr="00CE4E5A">
        <w:rPr>
          <w:color w:val="auto"/>
          <w:sz w:val="22"/>
        </w:rPr>
        <w:instrText xml:space="preserve"> SEQ Figure \* ARABIC </w:instrText>
      </w:r>
      <w:r w:rsidR="00B56045" w:rsidRPr="00CE4E5A">
        <w:rPr>
          <w:color w:val="auto"/>
          <w:sz w:val="22"/>
        </w:rPr>
        <w:fldChar w:fldCharType="separate"/>
      </w:r>
      <w:r w:rsidR="00006493">
        <w:rPr>
          <w:noProof/>
          <w:color w:val="auto"/>
          <w:sz w:val="22"/>
        </w:rPr>
        <w:t>2</w:t>
      </w:r>
      <w:r w:rsidR="00B56045" w:rsidRPr="00CE4E5A">
        <w:rPr>
          <w:color w:val="auto"/>
          <w:sz w:val="22"/>
        </w:rPr>
        <w:fldChar w:fldCharType="end"/>
      </w:r>
      <w:r w:rsidRPr="00CE4E5A">
        <w:rPr>
          <w:b w:val="0"/>
          <w:color w:val="auto"/>
          <w:sz w:val="22"/>
        </w:rPr>
        <w:t xml:space="preserve">: Percent of </w:t>
      </w:r>
      <w:r w:rsidR="005817A1">
        <w:rPr>
          <w:b w:val="0"/>
          <w:color w:val="auto"/>
          <w:sz w:val="22"/>
        </w:rPr>
        <w:t>Ph.D.’s</w:t>
      </w:r>
      <w:r w:rsidRPr="00CE4E5A">
        <w:rPr>
          <w:b w:val="0"/>
          <w:color w:val="auto"/>
          <w:sz w:val="22"/>
        </w:rPr>
        <w:t xml:space="preserve"> awarded to Temporary </w:t>
      </w:r>
      <w:r>
        <w:rPr>
          <w:b w:val="0"/>
          <w:color w:val="auto"/>
          <w:sz w:val="22"/>
        </w:rPr>
        <w:t xml:space="preserve">Residents </w:t>
      </w:r>
      <w:r w:rsidR="00F6401F">
        <w:rPr>
          <w:b w:val="0"/>
          <w:color w:val="auto"/>
          <w:sz w:val="22"/>
        </w:rPr>
        <w:t xml:space="preserve">(i.e., international students) </w:t>
      </w:r>
      <w:r>
        <w:rPr>
          <w:b w:val="0"/>
          <w:color w:val="auto"/>
          <w:sz w:val="22"/>
        </w:rPr>
        <w:t>and U.S. Citizens/</w:t>
      </w:r>
      <w:r w:rsidRPr="00CE4E5A">
        <w:rPr>
          <w:b w:val="0"/>
          <w:color w:val="auto"/>
          <w:sz w:val="22"/>
        </w:rPr>
        <w:t>Permanent Residents</w:t>
      </w:r>
      <w:r w:rsidR="00567563">
        <w:rPr>
          <w:b w:val="0"/>
          <w:color w:val="auto"/>
          <w:sz w:val="22"/>
        </w:rPr>
        <w:t xml:space="preserve"> from 1985 to 2010</w:t>
      </w:r>
    </w:p>
    <w:p w:rsidR="00F60CAD" w:rsidRPr="00DA2359" w:rsidRDefault="00DA2359" w:rsidP="00F60CAD">
      <w:pPr>
        <w:rPr>
          <w:rFonts w:ascii="Calibri" w:eastAsia="+mn-ea" w:hAnsi="Calibri" w:cs="+mn-cs"/>
          <w:b/>
          <w:color w:val="000000"/>
          <w:kern w:val="24"/>
          <w:sz w:val="28"/>
          <w:szCs w:val="28"/>
        </w:rPr>
      </w:pPr>
      <w:r>
        <w:rPr>
          <w:rFonts w:ascii="Calibri" w:eastAsia="+mn-ea" w:hAnsi="Calibri" w:cs="+mn-cs"/>
          <w:b/>
          <w:color w:val="000000"/>
          <w:kern w:val="24"/>
          <w:sz w:val="28"/>
          <w:szCs w:val="28"/>
        </w:rPr>
        <w:t xml:space="preserve">2.  </w:t>
      </w:r>
      <w:r w:rsidR="00F60CAD" w:rsidRPr="00DA2359">
        <w:rPr>
          <w:rFonts w:ascii="Calibri" w:eastAsia="+mn-ea" w:hAnsi="Calibri" w:cs="+mn-cs"/>
          <w:b/>
          <w:color w:val="000000"/>
          <w:kern w:val="24"/>
          <w:sz w:val="28"/>
          <w:szCs w:val="28"/>
        </w:rPr>
        <w:t>Sources of Data</w:t>
      </w:r>
    </w:p>
    <w:p w:rsidR="00F60CAD" w:rsidRDefault="00F60CAD" w:rsidP="00F60CAD">
      <w:pPr>
        <w:rPr>
          <w:rFonts w:ascii="Calibri" w:eastAsia="+mn-ea" w:hAnsi="Calibri" w:cs="+mn-cs"/>
          <w:color w:val="000000"/>
          <w:kern w:val="24"/>
        </w:rPr>
      </w:pPr>
      <w:r>
        <w:rPr>
          <w:rFonts w:ascii="Calibri" w:eastAsia="+mn-ea" w:hAnsi="Calibri" w:cs="+mn-cs"/>
          <w:color w:val="000000"/>
          <w:kern w:val="24"/>
        </w:rPr>
        <w:t xml:space="preserve">We used the following </w:t>
      </w:r>
      <w:r w:rsidR="00535B34">
        <w:rPr>
          <w:rFonts w:ascii="Calibri" w:eastAsia="+mn-ea" w:hAnsi="Calibri" w:cs="+mn-cs"/>
          <w:color w:val="000000"/>
          <w:kern w:val="24"/>
        </w:rPr>
        <w:t>publica</w:t>
      </w:r>
      <w:r w:rsidR="00E804AE">
        <w:rPr>
          <w:rFonts w:ascii="Calibri" w:eastAsia="+mn-ea" w:hAnsi="Calibri" w:cs="+mn-cs"/>
          <w:color w:val="000000"/>
          <w:kern w:val="24"/>
        </w:rPr>
        <w:t>l</w:t>
      </w:r>
      <w:r w:rsidR="00535B34">
        <w:rPr>
          <w:rFonts w:ascii="Calibri" w:eastAsia="+mn-ea" w:hAnsi="Calibri" w:cs="+mn-cs"/>
          <w:color w:val="000000"/>
          <w:kern w:val="24"/>
        </w:rPr>
        <w:t>l</w:t>
      </w:r>
      <w:r w:rsidR="00E804AE">
        <w:rPr>
          <w:rFonts w:ascii="Calibri" w:eastAsia="+mn-ea" w:hAnsi="Calibri" w:cs="+mn-cs"/>
          <w:color w:val="000000"/>
          <w:kern w:val="24"/>
        </w:rPr>
        <w:t xml:space="preserve">y available </w:t>
      </w:r>
      <w:r w:rsidR="009D41D5">
        <w:rPr>
          <w:rFonts w:ascii="Calibri" w:eastAsia="+mn-ea" w:hAnsi="Calibri" w:cs="+mn-cs"/>
          <w:color w:val="000000"/>
          <w:kern w:val="24"/>
        </w:rPr>
        <w:t>data sources</w:t>
      </w:r>
      <w:r>
        <w:rPr>
          <w:rFonts w:ascii="Calibri" w:eastAsia="+mn-ea" w:hAnsi="Calibri" w:cs="+mn-cs"/>
          <w:color w:val="000000"/>
          <w:kern w:val="24"/>
        </w:rPr>
        <w:t>:</w:t>
      </w:r>
    </w:p>
    <w:p w:rsidR="00F60CAD" w:rsidRDefault="00F60CAD" w:rsidP="00F60CAD">
      <w:pPr>
        <w:pStyle w:val="ListParagraph"/>
        <w:numPr>
          <w:ilvl w:val="0"/>
          <w:numId w:val="10"/>
        </w:numPr>
        <w:rPr>
          <w:rFonts w:ascii="Calibri" w:eastAsia="+mn-ea" w:hAnsi="Calibri" w:cs="+mn-cs"/>
          <w:color w:val="000000"/>
          <w:kern w:val="24"/>
        </w:rPr>
      </w:pPr>
      <w:r>
        <w:rPr>
          <w:rFonts w:ascii="Calibri" w:eastAsia="+mn-ea" w:hAnsi="Calibri" w:cs="+mn-cs"/>
          <w:color w:val="000000"/>
          <w:kern w:val="24"/>
        </w:rPr>
        <w:t xml:space="preserve">NSF’s </w:t>
      </w:r>
      <w:r w:rsidR="00AE1EC6">
        <w:rPr>
          <w:rFonts w:ascii="Calibri" w:eastAsia="+mn-ea" w:hAnsi="Calibri" w:cs="+mn-cs"/>
          <w:color w:val="000000"/>
          <w:kern w:val="24"/>
        </w:rPr>
        <w:t>WebCASPAR</w:t>
      </w:r>
      <w:r>
        <w:rPr>
          <w:rFonts w:ascii="Calibri" w:eastAsia="+mn-ea" w:hAnsi="Calibri" w:cs="+mn-cs"/>
          <w:color w:val="000000"/>
          <w:kern w:val="24"/>
        </w:rPr>
        <w:t xml:space="preserve"> </w:t>
      </w:r>
      <w:r w:rsidR="005E2D66">
        <w:rPr>
          <w:rFonts w:ascii="Calibri" w:eastAsia="+mn-ea" w:hAnsi="Calibri" w:cs="+mn-cs"/>
          <w:color w:val="000000"/>
          <w:kern w:val="24"/>
        </w:rPr>
        <w:t>(</w:t>
      </w:r>
      <w:hyperlink r:id="rId11" w:history="1">
        <w:r w:rsidR="00EC2076" w:rsidRPr="00B76C93">
          <w:rPr>
            <w:rStyle w:val="Hyperlink"/>
            <w:rFonts w:ascii="Calibri" w:eastAsia="+mn-ea" w:hAnsi="Calibri" w:cs="+mn-cs"/>
            <w:kern w:val="24"/>
          </w:rPr>
          <w:t>https://</w:t>
        </w:r>
        <w:r w:rsidR="00AE1EC6">
          <w:rPr>
            <w:rStyle w:val="Hyperlink"/>
            <w:rFonts w:ascii="Calibri" w:eastAsia="+mn-ea" w:hAnsi="Calibri" w:cs="+mn-cs"/>
            <w:kern w:val="24"/>
          </w:rPr>
          <w:t>WebCASPAR</w:t>
        </w:r>
        <w:r w:rsidR="00EC2076" w:rsidRPr="00B76C93">
          <w:rPr>
            <w:rStyle w:val="Hyperlink"/>
            <w:rFonts w:ascii="Calibri" w:eastAsia="+mn-ea" w:hAnsi="Calibri" w:cs="+mn-cs"/>
            <w:kern w:val="24"/>
          </w:rPr>
          <w:t>.nsf.gov/</w:t>
        </w:r>
      </w:hyperlink>
      <w:r w:rsidR="005E2D66">
        <w:rPr>
          <w:rFonts w:ascii="Calibri" w:eastAsia="+mn-ea" w:hAnsi="Calibri" w:cs="+mn-cs"/>
          <w:color w:val="000000"/>
          <w:kern w:val="24"/>
        </w:rPr>
        <w:t>)</w:t>
      </w:r>
    </w:p>
    <w:p w:rsidR="00EC2076" w:rsidRPr="00EC2076" w:rsidRDefault="00EC2076" w:rsidP="00EC2076">
      <w:pPr>
        <w:pStyle w:val="ListParagraph"/>
        <w:numPr>
          <w:ilvl w:val="0"/>
          <w:numId w:val="10"/>
        </w:numPr>
        <w:rPr>
          <w:rFonts w:ascii="Calibri" w:eastAsia="+mn-ea" w:hAnsi="Calibri" w:cs="+mn-cs"/>
          <w:color w:val="000000"/>
          <w:kern w:val="24"/>
        </w:rPr>
      </w:pPr>
      <w:r>
        <w:t>The National Center for Science and Engineering Statistics (NCSES), formerly NSF’s  Division of Science Resources Statistics (</w:t>
      </w:r>
      <w:hyperlink r:id="rId12" w:history="1">
        <w:r w:rsidR="00E804AE" w:rsidRPr="006D0951">
          <w:rPr>
            <w:rStyle w:val="Hyperlink"/>
          </w:rPr>
          <w:t>http://www.nsf.gov/statistics/</w:t>
        </w:r>
      </w:hyperlink>
      <w:r>
        <w:t>)</w:t>
      </w:r>
    </w:p>
    <w:p w:rsidR="009D41D5" w:rsidRPr="009D41D5" w:rsidRDefault="00F60CAD" w:rsidP="009D41D5">
      <w:pPr>
        <w:pStyle w:val="ListParagraph"/>
        <w:numPr>
          <w:ilvl w:val="0"/>
          <w:numId w:val="10"/>
        </w:numPr>
        <w:rPr>
          <w:rFonts w:ascii="Calibri" w:eastAsia="+mn-ea" w:hAnsi="Calibri" w:cs="+mn-cs"/>
          <w:color w:val="000000"/>
          <w:kern w:val="24"/>
        </w:rPr>
      </w:pPr>
      <w:r>
        <w:rPr>
          <w:rFonts w:ascii="Calibri" w:eastAsia="+mn-ea" w:hAnsi="Calibri" w:cs="+mn-cs"/>
          <w:color w:val="000000"/>
          <w:kern w:val="24"/>
        </w:rPr>
        <w:t>NSF Graduate Research Fellowship awardees</w:t>
      </w:r>
      <w:r w:rsidR="005E2D66">
        <w:rPr>
          <w:rFonts w:ascii="Calibri" w:eastAsia="+mn-ea" w:hAnsi="Calibri" w:cs="+mn-cs"/>
          <w:color w:val="000000"/>
          <w:kern w:val="24"/>
        </w:rPr>
        <w:t xml:space="preserve"> and honorable mention</w:t>
      </w:r>
      <w:r w:rsidR="00E804AE">
        <w:rPr>
          <w:rFonts w:ascii="Calibri" w:eastAsia="+mn-ea" w:hAnsi="Calibri" w:cs="+mn-cs"/>
          <w:color w:val="000000"/>
          <w:kern w:val="24"/>
        </w:rPr>
        <w:t>s</w:t>
      </w:r>
      <w:r w:rsidR="005E2D66">
        <w:rPr>
          <w:rFonts w:ascii="Calibri" w:eastAsia="+mn-ea" w:hAnsi="Calibri" w:cs="+mn-cs"/>
          <w:color w:val="000000"/>
          <w:kern w:val="24"/>
        </w:rPr>
        <w:t xml:space="preserve"> from FastLane</w:t>
      </w:r>
      <w:r w:rsidR="00CC25B4">
        <w:rPr>
          <w:rFonts w:ascii="Calibri" w:eastAsia="+mn-ea" w:hAnsi="Calibri" w:cs="+mn-cs"/>
          <w:color w:val="000000"/>
          <w:kern w:val="24"/>
        </w:rPr>
        <w:t xml:space="preserve"> (</w:t>
      </w:r>
      <w:hyperlink r:id="rId13" w:history="1">
        <w:r w:rsidR="00E804AE" w:rsidRPr="006D0951">
          <w:rPr>
            <w:rStyle w:val="Hyperlink"/>
            <w:rFonts w:ascii="Calibri" w:eastAsia="+mn-ea" w:hAnsi="Calibri" w:cs="+mn-cs"/>
            <w:kern w:val="24"/>
          </w:rPr>
          <w:t>https://www.fastlane.nsf.gov/grfp/AwardeeList.do?method=loadAwardeeList</w:t>
        </w:r>
      </w:hyperlink>
      <w:r w:rsidR="00CC25B4">
        <w:rPr>
          <w:rFonts w:ascii="Calibri" w:eastAsia="+mn-ea" w:hAnsi="Calibri" w:cs="+mn-cs"/>
          <w:color w:val="000000"/>
          <w:kern w:val="24"/>
        </w:rPr>
        <w:t>)</w:t>
      </w:r>
    </w:p>
    <w:p w:rsidR="003C3CE4" w:rsidRDefault="009D41D5" w:rsidP="00F60CAD">
      <w:r>
        <w:t>Figure 1 shows the number of Ph.D.’s awarded in the U</w:t>
      </w:r>
      <w:r w:rsidR="00492B99">
        <w:t>.</w:t>
      </w:r>
      <w:r>
        <w:t>S</w:t>
      </w:r>
      <w:r w:rsidR="00492B99">
        <w:t>.</w:t>
      </w:r>
      <w:r>
        <w:t xml:space="preserve"> in computer science</w:t>
      </w:r>
      <w:r w:rsidR="00535B34">
        <w:t xml:space="preserve"> from 1982 to 2010</w:t>
      </w:r>
      <w:r>
        <w:t xml:space="preserve"> </w:t>
      </w:r>
      <w:r w:rsidR="00E804AE">
        <w:t>as reported by</w:t>
      </w:r>
      <w:r>
        <w:t xml:space="preserve"> </w:t>
      </w:r>
      <w:r w:rsidR="00AE1EC6">
        <w:t>WebCASPAR</w:t>
      </w:r>
      <w:r w:rsidR="00535B34">
        <w:t xml:space="preserve">.  Another </w:t>
      </w:r>
      <w:r>
        <w:t>data source for Ph.D. production</w:t>
      </w:r>
      <w:r w:rsidR="003C3CE4">
        <w:t xml:space="preserve"> </w:t>
      </w:r>
      <w:r>
        <w:t xml:space="preserve"> is the Taulbee report released annually by the CRA and available at </w:t>
      </w:r>
      <w:hyperlink r:id="rId14" w:history="1">
        <w:r w:rsidRPr="00A12E9F">
          <w:rPr>
            <w:rStyle w:val="Hyperlink"/>
            <w:rFonts w:ascii="Calibri" w:eastAsia="+mn-ea" w:hAnsi="Calibri" w:cs="+mn-cs"/>
            <w:kern w:val="24"/>
          </w:rPr>
          <w:t>http://www.cra.org/resources/taulbee/</w:t>
        </w:r>
      </w:hyperlink>
      <w:r>
        <w:rPr>
          <w:rFonts w:ascii="Calibri" w:eastAsia="+mn-ea" w:hAnsi="Calibri" w:cs="+mn-cs"/>
          <w:color w:val="000000"/>
          <w:kern w:val="24"/>
        </w:rPr>
        <w:t xml:space="preserve">. </w:t>
      </w:r>
      <w:r w:rsidR="002D2ECA">
        <w:t xml:space="preserve">The Taulbee data on </w:t>
      </w:r>
      <w:r>
        <w:t xml:space="preserve">Ph.D. production </w:t>
      </w:r>
      <w:r w:rsidR="00E804AE">
        <w:t xml:space="preserve">complements </w:t>
      </w:r>
      <w:r w:rsidR="00AE1EC6">
        <w:t>WebCASPAR</w:t>
      </w:r>
      <w:r w:rsidR="003C3CE4">
        <w:t xml:space="preserve"> data. </w:t>
      </w:r>
      <w:r w:rsidR="00E804AE">
        <w:t>Taulbee</w:t>
      </w:r>
      <w:r>
        <w:t xml:space="preserve"> provides Ph.D. production for institutions in the US and Canada and considers degrees in computer science, computer engineering and information science. </w:t>
      </w:r>
      <w:r w:rsidR="00E804AE">
        <w:t xml:space="preserve">We note that </w:t>
      </w:r>
      <w:r w:rsidR="005043FC">
        <w:t xml:space="preserve">Taulbee data </w:t>
      </w:r>
      <w:r w:rsidR="002D2ECA">
        <w:t>only includes CRA member institutions and thus omits some institutions in the WebCA</w:t>
      </w:r>
      <w:r w:rsidR="003C3CE4">
        <w:t xml:space="preserve">SPAR dataset, but counts Ph.D.s in related computing fields which is difficult to capture with  </w:t>
      </w:r>
      <w:r w:rsidR="00492B99">
        <w:t>WebCASPAR</w:t>
      </w:r>
      <w:r w:rsidR="003C3CE4">
        <w:t xml:space="preserve">. We refer to   </w:t>
      </w:r>
      <w:hyperlink r:id="rId15" w:history="1">
        <w:r w:rsidR="003C3CE4" w:rsidRPr="00BA07AD">
          <w:rPr>
            <w:rStyle w:val="Hyperlink"/>
          </w:rPr>
          <w:t>http://cra.org/resources/crn-online-view/counting_computing_cra_taulbee_survey_and_nsf_statistics/</w:t>
        </w:r>
      </w:hyperlink>
      <w:r w:rsidR="003C3CE4">
        <w:t xml:space="preserve">  for a detailed comparison.</w:t>
      </w:r>
      <w:r w:rsidR="00492B99">
        <w:t xml:space="preserve"> Although the Taulbee and WebCASPAR datasets</w:t>
      </w:r>
      <w:r w:rsidR="0040674A">
        <w:t xml:space="preserve"> differ</w:t>
      </w:r>
      <w:r w:rsidR="00492B99">
        <w:t>, they</w:t>
      </w:r>
      <w:r w:rsidR="0040674A">
        <w:t xml:space="preserve"> do</w:t>
      </w:r>
      <w:r w:rsidR="00492B99">
        <w:t xml:space="preserve"> show similar trends. </w:t>
      </w:r>
    </w:p>
    <w:p w:rsidR="00BC2118" w:rsidRDefault="00CF7655" w:rsidP="00BC2118">
      <w:pPr>
        <w:rPr>
          <w:rFonts w:ascii="Calibri" w:eastAsia="+mn-ea" w:hAnsi="Calibri" w:cs="+mn-cs"/>
          <w:color w:val="000000"/>
          <w:kern w:val="24"/>
        </w:rPr>
      </w:pPr>
      <w:r>
        <w:rPr>
          <w:rFonts w:ascii="Calibri" w:eastAsia="+mn-ea" w:hAnsi="Calibri" w:cs="+mn-cs"/>
          <w:color w:val="000000"/>
          <w:kern w:val="24"/>
        </w:rPr>
        <w:t>We use</w:t>
      </w:r>
      <w:r w:rsidR="00812088">
        <w:rPr>
          <w:rFonts w:ascii="Calibri" w:eastAsia="+mn-ea" w:hAnsi="Calibri" w:cs="+mn-cs"/>
          <w:color w:val="000000"/>
          <w:kern w:val="24"/>
        </w:rPr>
        <w:t xml:space="preserve"> </w:t>
      </w:r>
      <w:r>
        <w:rPr>
          <w:rFonts w:ascii="Calibri" w:eastAsia="+mn-ea" w:hAnsi="Calibri" w:cs="+mn-cs"/>
          <w:color w:val="000000"/>
          <w:kern w:val="24"/>
        </w:rPr>
        <w:t xml:space="preserve">the </w:t>
      </w:r>
      <w:r w:rsidR="005043FC">
        <w:rPr>
          <w:rFonts w:ascii="Calibri" w:eastAsia="+mn-ea" w:hAnsi="Calibri" w:cs="+mn-cs"/>
          <w:color w:val="000000"/>
          <w:kern w:val="24"/>
        </w:rPr>
        <w:t xml:space="preserve">2010 </w:t>
      </w:r>
      <w:r>
        <w:rPr>
          <w:rFonts w:ascii="Calibri" w:eastAsia="+mn-ea" w:hAnsi="Calibri" w:cs="+mn-cs"/>
          <w:color w:val="000000"/>
          <w:kern w:val="24"/>
        </w:rPr>
        <w:t xml:space="preserve">Carnegie classification </w:t>
      </w:r>
      <w:r w:rsidR="00812088">
        <w:rPr>
          <w:rFonts w:ascii="Calibri" w:eastAsia="+mn-ea" w:hAnsi="Calibri" w:cs="+mn-cs"/>
          <w:color w:val="000000"/>
          <w:kern w:val="24"/>
        </w:rPr>
        <w:t>(</w:t>
      </w:r>
      <w:hyperlink r:id="rId16" w:history="1">
        <w:r w:rsidR="00812088" w:rsidRPr="0070502B">
          <w:rPr>
            <w:rStyle w:val="Hyperlink"/>
            <w:rFonts w:ascii="Calibri" w:eastAsia="+mn-ea" w:hAnsi="Calibri" w:cs="+mn-cs"/>
            <w:kern w:val="24"/>
          </w:rPr>
          <w:t>http://classifications.carnegiefoundation.org/</w:t>
        </w:r>
      </w:hyperlink>
      <w:r w:rsidR="00812088">
        <w:rPr>
          <w:rFonts w:ascii="Calibri" w:eastAsia="+mn-ea" w:hAnsi="Calibri" w:cs="+mn-cs"/>
          <w:color w:val="000000"/>
          <w:kern w:val="24"/>
        </w:rPr>
        <w:t xml:space="preserve">) </w:t>
      </w:r>
      <w:r>
        <w:rPr>
          <w:rFonts w:ascii="Calibri" w:eastAsia="+mn-ea" w:hAnsi="Calibri" w:cs="+mn-cs"/>
          <w:color w:val="000000"/>
          <w:kern w:val="24"/>
        </w:rPr>
        <w:t>for grouping institutions</w:t>
      </w:r>
      <w:r w:rsidR="00812088">
        <w:rPr>
          <w:rFonts w:ascii="Calibri" w:eastAsia="+mn-ea" w:hAnsi="Calibri" w:cs="+mn-cs"/>
          <w:color w:val="000000"/>
          <w:kern w:val="24"/>
        </w:rPr>
        <w:t xml:space="preserve"> and consider for </w:t>
      </w:r>
      <w:r w:rsidR="00582A7D">
        <w:rPr>
          <w:rFonts w:ascii="Calibri" w:eastAsia="+mn-ea" w:hAnsi="Calibri" w:cs="+mn-cs"/>
          <w:color w:val="000000"/>
          <w:kern w:val="24"/>
        </w:rPr>
        <w:t>five</w:t>
      </w:r>
      <w:r w:rsidR="00EE6FD3">
        <w:rPr>
          <w:rFonts w:ascii="Calibri" w:eastAsia="+mn-ea" w:hAnsi="Calibri" w:cs="+mn-cs"/>
          <w:color w:val="000000"/>
          <w:kern w:val="24"/>
        </w:rPr>
        <w:t xml:space="preserve"> groups</w:t>
      </w:r>
      <w:r w:rsidR="00006493">
        <w:rPr>
          <w:rFonts w:ascii="Calibri" w:eastAsia="+mn-ea" w:hAnsi="Calibri" w:cs="+mn-cs"/>
          <w:color w:val="000000"/>
          <w:kern w:val="24"/>
        </w:rPr>
        <w:t xml:space="preserve">: </w:t>
      </w:r>
      <w:r w:rsidR="00535B34">
        <w:rPr>
          <w:rFonts w:ascii="Calibri" w:eastAsia="+mn-ea" w:hAnsi="Calibri" w:cs="+mn-cs"/>
          <w:color w:val="000000"/>
          <w:kern w:val="24"/>
        </w:rPr>
        <w:t>Research Universities</w:t>
      </w:r>
      <w:r w:rsidR="00BD0ADF">
        <w:rPr>
          <w:rFonts w:ascii="Calibri" w:eastAsia="+mn-ea" w:hAnsi="Calibri" w:cs="+mn-cs"/>
          <w:color w:val="000000"/>
          <w:kern w:val="24"/>
        </w:rPr>
        <w:t xml:space="preserve"> (297</w:t>
      </w:r>
      <w:bookmarkStart w:id="0" w:name="_GoBack"/>
      <w:bookmarkEnd w:id="0"/>
      <w:r w:rsidR="00127FFA">
        <w:rPr>
          <w:rFonts w:ascii="Calibri" w:eastAsia="+mn-ea" w:hAnsi="Calibri" w:cs="+mn-cs"/>
          <w:color w:val="000000"/>
          <w:kern w:val="24"/>
        </w:rPr>
        <w:t>)</w:t>
      </w:r>
      <w:r w:rsidR="00535B34">
        <w:rPr>
          <w:rFonts w:ascii="Calibri" w:eastAsia="+mn-ea" w:hAnsi="Calibri" w:cs="+mn-cs"/>
          <w:color w:val="000000"/>
          <w:kern w:val="24"/>
        </w:rPr>
        <w:t>, m</w:t>
      </w:r>
      <w:r w:rsidRPr="00EE6FD3">
        <w:rPr>
          <w:rFonts w:ascii="Calibri" w:eastAsia="+mn-ea" w:hAnsi="Calibri" w:cs="+mn-cs"/>
          <w:color w:val="000000"/>
          <w:kern w:val="24"/>
        </w:rPr>
        <w:t>ast</w:t>
      </w:r>
      <w:r w:rsidR="00F60CAD">
        <w:rPr>
          <w:rFonts w:ascii="Calibri" w:eastAsia="+mn-ea" w:hAnsi="Calibri" w:cs="+mn-cs"/>
          <w:color w:val="000000"/>
          <w:kern w:val="24"/>
        </w:rPr>
        <w:t>er</w:t>
      </w:r>
      <w:r w:rsidR="005322F2">
        <w:rPr>
          <w:rFonts w:ascii="Calibri" w:eastAsia="+mn-ea" w:hAnsi="Calibri" w:cs="+mn-cs"/>
          <w:color w:val="000000"/>
          <w:kern w:val="24"/>
        </w:rPr>
        <w:t>’</w:t>
      </w:r>
      <w:r w:rsidR="00F60CAD">
        <w:rPr>
          <w:rFonts w:ascii="Calibri" w:eastAsia="+mn-ea" w:hAnsi="Calibri" w:cs="+mn-cs"/>
          <w:color w:val="000000"/>
          <w:kern w:val="24"/>
        </w:rPr>
        <w:t>s institutions</w:t>
      </w:r>
      <w:r w:rsidR="00127FFA">
        <w:rPr>
          <w:rFonts w:ascii="Calibri" w:eastAsia="+mn-ea" w:hAnsi="Calibri" w:cs="+mn-cs"/>
          <w:color w:val="000000"/>
          <w:kern w:val="24"/>
        </w:rPr>
        <w:t xml:space="preserve"> (727)</w:t>
      </w:r>
      <w:r w:rsidR="00535B34">
        <w:rPr>
          <w:rFonts w:ascii="Calibri" w:eastAsia="+mn-ea" w:hAnsi="Calibri" w:cs="+mn-cs"/>
          <w:color w:val="000000"/>
          <w:kern w:val="24"/>
        </w:rPr>
        <w:t>, four</w:t>
      </w:r>
      <w:r w:rsidRPr="00EE6FD3">
        <w:rPr>
          <w:rFonts w:ascii="Calibri" w:eastAsia="+mn-ea" w:hAnsi="Calibri" w:cs="+mn-cs"/>
          <w:color w:val="000000"/>
          <w:kern w:val="24"/>
        </w:rPr>
        <w:t>-yea</w:t>
      </w:r>
      <w:r w:rsidR="00535B34">
        <w:rPr>
          <w:rFonts w:ascii="Calibri" w:eastAsia="+mn-ea" w:hAnsi="Calibri" w:cs="+mn-cs"/>
          <w:color w:val="000000"/>
          <w:kern w:val="24"/>
        </w:rPr>
        <w:t>r Colleges</w:t>
      </w:r>
      <w:r w:rsidR="00127FFA">
        <w:rPr>
          <w:rFonts w:ascii="Calibri" w:eastAsia="+mn-ea" w:hAnsi="Calibri" w:cs="+mn-cs"/>
          <w:color w:val="000000"/>
          <w:kern w:val="24"/>
        </w:rPr>
        <w:t xml:space="preserve"> (810)</w:t>
      </w:r>
      <w:r w:rsidR="00535B34">
        <w:rPr>
          <w:rFonts w:ascii="Calibri" w:eastAsia="+mn-ea" w:hAnsi="Calibri" w:cs="+mn-cs"/>
          <w:color w:val="000000"/>
          <w:kern w:val="24"/>
        </w:rPr>
        <w:t>, other/u</w:t>
      </w:r>
      <w:r w:rsidR="0022052C" w:rsidRPr="00EE6FD3">
        <w:rPr>
          <w:rFonts w:ascii="Calibri" w:eastAsia="+mn-ea" w:hAnsi="Calibri" w:cs="+mn-cs"/>
          <w:color w:val="000000"/>
          <w:kern w:val="24"/>
        </w:rPr>
        <w:t>nknown</w:t>
      </w:r>
      <w:r w:rsidR="00127FFA">
        <w:rPr>
          <w:rFonts w:ascii="Calibri" w:eastAsia="+mn-ea" w:hAnsi="Calibri" w:cs="+mn-cs"/>
          <w:color w:val="000000"/>
          <w:kern w:val="24"/>
        </w:rPr>
        <w:t xml:space="preserve"> </w:t>
      </w:r>
      <w:r w:rsidR="00EE6FD3">
        <w:rPr>
          <w:rFonts w:ascii="Calibri" w:eastAsia="+mn-ea" w:hAnsi="Calibri" w:cs="+mn-cs"/>
          <w:color w:val="000000"/>
          <w:kern w:val="24"/>
        </w:rPr>
        <w:t xml:space="preserve">and </w:t>
      </w:r>
      <w:r w:rsidR="00535B34">
        <w:rPr>
          <w:rFonts w:ascii="Calibri" w:eastAsia="+mn-ea" w:hAnsi="Calibri" w:cs="+mn-cs"/>
          <w:color w:val="000000"/>
          <w:kern w:val="24"/>
        </w:rPr>
        <w:t>n</w:t>
      </w:r>
      <w:r w:rsidR="0022052C" w:rsidRPr="00EE6FD3">
        <w:rPr>
          <w:rFonts w:ascii="Calibri" w:eastAsia="+mn-ea" w:hAnsi="Calibri" w:cs="+mn-cs"/>
          <w:color w:val="000000"/>
          <w:kern w:val="24"/>
        </w:rPr>
        <w:t>on-C</w:t>
      </w:r>
      <w:r w:rsidRPr="00EE6FD3">
        <w:rPr>
          <w:rFonts w:ascii="Calibri" w:eastAsia="+mn-ea" w:hAnsi="Calibri" w:cs="+mn-cs"/>
          <w:color w:val="000000"/>
          <w:kern w:val="24"/>
        </w:rPr>
        <w:t>arnegie institutions</w:t>
      </w:r>
      <w:r w:rsidR="00006493">
        <w:rPr>
          <w:rFonts w:ascii="Calibri" w:eastAsia="+mn-ea" w:hAnsi="Calibri" w:cs="+mn-cs"/>
          <w:color w:val="000000"/>
          <w:kern w:val="24"/>
        </w:rPr>
        <w:t xml:space="preserve">. </w:t>
      </w:r>
      <w:r w:rsidRPr="00EE6FD3">
        <w:rPr>
          <w:rFonts w:ascii="Calibri" w:eastAsia="+mn-ea" w:hAnsi="Calibri" w:cs="+mn-cs"/>
          <w:color w:val="000000"/>
          <w:kern w:val="24"/>
        </w:rPr>
        <w:t xml:space="preserve"> </w:t>
      </w:r>
      <w:r w:rsidR="00006493">
        <w:rPr>
          <w:rFonts w:ascii="Calibri" w:eastAsia="+mn-ea" w:hAnsi="Calibri" w:cs="+mn-cs"/>
          <w:color w:val="000000"/>
          <w:kern w:val="24"/>
        </w:rPr>
        <w:t xml:space="preserve">The number in the parenthesis for </w:t>
      </w:r>
      <w:r w:rsidR="005F5365">
        <w:rPr>
          <w:rFonts w:ascii="Calibri" w:eastAsia="+mn-ea" w:hAnsi="Calibri" w:cs="+mn-cs"/>
          <w:color w:val="000000"/>
          <w:kern w:val="24"/>
        </w:rPr>
        <w:t>the first three groups indicates</w:t>
      </w:r>
      <w:r w:rsidR="00006493">
        <w:rPr>
          <w:rFonts w:ascii="Calibri" w:eastAsia="+mn-ea" w:hAnsi="Calibri" w:cs="+mn-cs"/>
          <w:color w:val="000000"/>
          <w:kern w:val="24"/>
        </w:rPr>
        <w:t xml:space="preserve"> the numbe</w:t>
      </w:r>
      <w:r w:rsidR="005F5365">
        <w:rPr>
          <w:rFonts w:ascii="Calibri" w:eastAsia="+mn-ea" w:hAnsi="Calibri" w:cs="+mn-cs"/>
          <w:color w:val="000000"/>
          <w:kern w:val="24"/>
        </w:rPr>
        <w:t>r of institutions in that group</w:t>
      </w:r>
      <w:r w:rsidR="00006493">
        <w:rPr>
          <w:rFonts w:ascii="Calibri" w:eastAsia="+mn-ea" w:hAnsi="Calibri" w:cs="+mn-cs"/>
          <w:color w:val="000000"/>
          <w:kern w:val="24"/>
        </w:rPr>
        <w:t xml:space="preserve">.  </w:t>
      </w:r>
      <w:r w:rsidR="0022052C" w:rsidRPr="00EE6FD3">
        <w:rPr>
          <w:rFonts w:ascii="Calibri" w:eastAsia="+mn-ea" w:hAnsi="Calibri" w:cs="+mn-cs"/>
          <w:color w:val="000000"/>
          <w:kern w:val="24"/>
        </w:rPr>
        <w:t>Other/Unknown include</w:t>
      </w:r>
      <w:r w:rsidR="00EE6FD3">
        <w:rPr>
          <w:rFonts w:ascii="Calibri" w:eastAsia="+mn-ea" w:hAnsi="Calibri" w:cs="+mn-cs"/>
          <w:color w:val="000000"/>
          <w:kern w:val="24"/>
        </w:rPr>
        <w:t>s</w:t>
      </w:r>
      <w:r w:rsidR="006E263E">
        <w:rPr>
          <w:rFonts w:ascii="Calibri" w:eastAsia="+mn-ea" w:hAnsi="Calibri" w:cs="+mn-cs"/>
          <w:color w:val="000000"/>
          <w:kern w:val="24"/>
        </w:rPr>
        <w:t xml:space="preserve"> a small number of institutions that don’</w:t>
      </w:r>
      <w:r w:rsidR="00F60CAD">
        <w:rPr>
          <w:rFonts w:ascii="Calibri" w:eastAsia="+mn-ea" w:hAnsi="Calibri" w:cs="+mn-cs"/>
          <w:color w:val="000000"/>
          <w:kern w:val="24"/>
        </w:rPr>
        <w:t>t fit into the other categories</w:t>
      </w:r>
      <w:r w:rsidR="00FD19A2">
        <w:rPr>
          <w:rFonts w:ascii="Calibri" w:eastAsia="+mn-ea" w:hAnsi="Calibri" w:cs="+mn-cs"/>
          <w:color w:val="000000"/>
          <w:kern w:val="24"/>
        </w:rPr>
        <w:t xml:space="preserve"> and </w:t>
      </w:r>
      <w:r w:rsidR="00535B34">
        <w:rPr>
          <w:rFonts w:ascii="Calibri" w:eastAsia="+mn-ea" w:hAnsi="Calibri" w:cs="+mn-cs"/>
          <w:color w:val="000000"/>
          <w:kern w:val="24"/>
        </w:rPr>
        <w:t>n</w:t>
      </w:r>
      <w:r w:rsidR="00096BBF">
        <w:rPr>
          <w:rFonts w:ascii="Calibri" w:eastAsia="+mn-ea" w:hAnsi="Calibri" w:cs="+mn-cs"/>
          <w:color w:val="000000"/>
          <w:kern w:val="24"/>
        </w:rPr>
        <w:t xml:space="preserve">on-Carnegie institutions </w:t>
      </w:r>
      <w:r w:rsidR="00096BBF" w:rsidRPr="00EE6FD3">
        <w:rPr>
          <w:rFonts w:ascii="Calibri" w:eastAsia="+mn-ea" w:hAnsi="Calibri" w:cs="+mn-cs"/>
          <w:color w:val="000000"/>
          <w:kern w:val="24"/>
        </w:rPr>
        <w:t>refer</w:t>
      </w:r>
      <w:r w:rsidR="00FD19A2">
        <w:rPr>
          <w:rFonts w:ascii="Calibri" w:eastAsia="+mn-ea" w:hAnsi="Calibri" w:cs="+mn-cs"/>
          <w:color w:val="000000"/>
          <w:kern w:val="24"/>
        </w:rPr>
        <w:t xml:space="preserve"> to institutions outside the US.</w:t>
      </w:r>
      <w:r w:rsidR="005F5365">
        <w:rPr>
          <w:rStyle w:val="FootnoteReference"/>
          <w:rFonts w:ascii="Calibri" w:eastAsia="+mn-ea" w:hAnsi="Calibri" w:cs="+mn-cs"/>
          <w:color w:val="000000"/>
          <w:kern w:val="24"/>
        </w:rPr>
        <w:footnoteReference w:id="1"/>
      </w:r>
      <w:r w:rsidR="00FD19A2">
        <w:rPr>
          <w:rFonts w:ascii="Calibri" w:eastAsia="+mn-ea" w:hAnsi="Calibri" w:cs="+mn-cs"/>
          <w:color w:val="000000"/>
          <w:kern w:val="24"/>
        </w:rPr>
        <w:t xml:space="preserve">  </w:t>
      </w:r>
      <w:r w:rsidR="00F60CAD">
        <w:rPr>
          <w:rFonts w:ascii="Calibri" w:eastAsia="+mn-ea" w:hAnsi="Calibri" w:cs="+mn-cs"/>
          <w:color w:val="000000"/>
          <w:kern w:val="24"/>
        </w:rPr>
        <w:t>While this is an admittedly coarse partitioning,</w:t>
      </w:r>
      <w:r w:rsidR="007E62E3">
        <w:rPr>
          <w:rFonts w:ascii="Calibri" w:eastAsia="+mn-ea" w:hAnsi="Calibri" w:cs="+mn-cs"/>
          <w:color w:val="000000"/>
          <w:kern w:val="24"/>
        </w:rPr>
        <w:t xml:space="preserve"> </w:t>
      </w:r>
      <w:r w:rsidR="00347C74">
        <w:rPr>
          <w:rFonts w:ascii="Calibri" w:eastAsia="+mn-ea" w:hAnsi="Calibri" w:cs="+mn-cs"/>
          <w:color w:val="000000"/>
          <w:kern w:val="24"/>
        </w:rPr>
        <w:t xml:space="preserve">it provides </w:t>
      </w:r>
      <w:r w:rsidR="00535B34">
        <w:rPr>
          <w:rFonts w:ascii="Calibri" w:eastAsia="+mn-ea" w:hAnsi="Calibri" w:cs="+mn-cs"/>
          <w:color w:val="000000"/>
          <w:kern w:val="24"/>
        </w:rPr>
        <w:t xml:space="preserve">a </w:t>
      </w:r>
      <w:r w:rsidR="00FD19A2">
        <w:rPr>
          <w:rFonts w:ascii="Calibri" w:eastAsia="+mn-ea" w:hAnsi="Calibri" w:cs="+mn-cs"/>
          <w:color w:val="000000"/>
          <w:kern w:val="24"/>
        </w:rPr>
        <w:t>valuable</w:t>
      </w:r>
      <w:r w:rsidR="00535B34">
        <w:rPr>
          <w:rFonts w:ascii="Calibri" w:eastAsia="+mn-ea" w:hAnsi="Calibri" w:cs="+mn-cs"/>
          <w:color w:val="000000"/>
          <w:kern w:val="24"/>
        </w:rPr>
        <w:t xml:space="preserve"> overview and shows some important trends and patterns</w:t>
      </w:r>
      <w:r w:rsidR="00347C74">
        <w:rPr>
          <w:rFonts w:ascii="Calibri" w:eastAsia="+mn-ea" w:hAnsi="Calibri" w:cs="+mn-cs"/>
          <w:color w:val="000000"/>
          <w:kern w:val="24"/>
        </w:rPr>
        <w:t xml:space="preserve">.  </w:t>
      </w:r>
    </w:p>
    <w:p w:rsidR="00BC2118" w:rsidRPr="00FD19A2" w:rsidRDefault="00BC2118" w:rsidP="00F60CAD">
      <w:pPr>
        <w:rPr>
          <w:rFonts w:ascii="Calibri" w:eastAsia="+mn-ea" w:hAnsi="Calibri" w:cs="+mn-cs"/>
          <w:color w:val="000000"/>
          <w:kern w:val="24"/>
        </w:rPr>
      </w:pPr>
      <w:r>
        <w:rPr>
          <w:rFonts w:eastAsia="Times New Roman"/>
        </w:rPr>
        <w:t>The main objective of this report is to provide insight into the undergraduate origins of domestic Ph.D. students. Where data sources fail to provide breakdowns by residency status, we have used a domestic bachelor's degree as a proxy for "domestic student."  This will fail to identify the small numbers of domestic students who received their undergraduate educations outside the U.S. or of international students who received their undergraduate educations at U.S. institutions.  We believe these limitations are modest and do not detract from the overall findings of this report.</w:t>
      </w:r>
      <w:r>
        <w:rPr>
          <w:rFonts w:eastAsia="Times New Roman"/>
        </w:rPr>
        <w:br/>
      </w:r>
    </w:p>
    <w:p w:rsidR="00B3032B" w:rsidRPr="00DA2359" w:rsidRDefault="00DA2359" w:rsidP="00D34A96">
      <w:pPr>
        <w:spacing w:after="0"/>
        <w:rPr>
          <w:b/>
          <w:sz w:val="28"/>
          <w:szCs w:val="28"/>
        </w:rPr>
      </w:pPr>
      <w:r>
        <w:rPr>
          <w:b/>
          <w:sz w:val="28"/>
          <w:szCs w:val="28"/>
        </w:rPr>
        <w:t xml:space="preserve">3.  </w:t>
      </w:r>
      <w:r w:rsidR="00F60CAD" w:rsidRPr="00DA2359">
        <w:rPr>
          <w:b/>
          <w:sz w:val="28"/>
          <w:szCs w:val="28"/>
        </w:rPr>
        <w:t>Summary of F</w:t>
      </w:r>
      <w:r w:rsidR="00B3032B" w:rsidRPr="00DA2359">
        <w:rPr>
          <w:b/>
          <w:sz w:val="28"/>
          <w:szCs w:val="28"/>
        </w:rPr>
        <w:t>indings</w:t>
      </w:r>
      <w:r w:rsidR="00CE11DB" w:rsidRPr="00DA2359">
        <w:rPr>
          <w:b/>
          <w:sz w:val="28"/>
          <w:szCs w:val="28"/>
        </w:rPr>
        <w:t xml:space="preserve"> </w:t>
      </w:r>
    </w:p>
    <w:p w:rsidR="00F60CAD" w:rsidRDefault="00F60CAD" w:rsidP="00D34A96">
      <w:pPr>
        <w:spacing w:after="0"/>
        <w:rPr>
          <w:b/>
          <w:u w:val="single"/>
        </w:rPr>
      </w:pPr>
    </w:p>
    <w:p w:rsidR="00347C74" w:rsidRDefault="00347C74" w:rsidP="00D34A96">
      <w:pPr>
        <w:spacing w:after="0"/>
      </w:pPr>
      <w:r>
        <w:t>The following is a summary of our findings:</w:t>
      </w:r>
    </w:p>
    <w:p w:rsidR="00A71A07" w:rsidRDefault="00A71A07" w:rsidP="005546D8">
      <w:pPr>
        <w:pStyle w:val="ListParagraph"/>
        <w:numPr>
          <w:ilvl w:val="0"/>
          <w:numId w:val="20"/>
        </w:numPr>
        <w:spacing w:after="0"/>
      </w:pPr>
      <w:r>
        <w:t>In 2010, over 7</w:t>
      </w:r>
      <w:r w:rsidR="00311500" w:rsidRPr="00CE11DB">
        <w:t xml:space="preserve">0% </w:t>
      </w:r>
      <w:r w:rsidR="00F60CAD">
        <w:t xml:space="preserve">of </w:t>
      </w:r>
      <w:r>
        <w:t xml:space="preserve">the </w:t>
      </w:r>
      <w:r w:rsidR="005817A1">
        <w:t>Ph.D.’s</w:t>
      </w:r>
      <w:r w:rsidR="00F60CAD">
        <w:t xml:space="preserve"> </w:t>
      </w:r>
      <w:r>
        <w:t xml:space="preserve">awarded to domestic students went to students who </w:t>
      </w:r>
      <w:r w:rsidR="005546D8">
        <w:t>completed their</w:t>
      </w:r>
      <w:r w:rsidR="00F60CAD">
        <w:t xml:space="preserve"> </w:t>
      </w:r>
      <w:r w:rsidR="00311500" w:rsidRPr="00CE11DB">
        <w:t xml:space="preserve">undergraduate </w:t>
      </w:r>
      <w:r w:rsidR="00F60CAD">
        <w:t xml:space="preserve">studies </w:t>
      </w:r>
      <w:r>
        <w:t>at research universities, 1</w:t>
      </w:r>
      <w:r w:rsidR="00985C07">
        <w:t>5</w:t>
      </w:r>
      <w:r w:rsidR="001F2D50">
        <w:t xml:space="preserve">% </w:t>
      </w:r>
      <w:r w:rsidR="00E53CCD">
        <w:t>at m</w:t>
      </w:r>
      <w:r>
        <w:t>aster’s institutions, 1</w:t>
      </w:r>
      <w:r w:rsidR="00985C07">
        <w:t>1</w:t>
      </w:r>
      <w:r w:rsidR="00E53CCD">
        <w:t>% at four</w:t>
      </w:r>
      <w:r>
        <w:t xml:space="preserve">-year colleges, and about </w:t>
      </w:r>
      <w:r w:rsidR="00985C07">
        <w:t>4</w:t>
      </w:r>
      <w:r w:rsidR="00E53CCD">
        <w:t>% from the other/u</w:t>
      </w:r>
      <w:r>
        <w:t>nknown category.  These percentages have not changed much since 2000.</w:t>
      </w:r>
    </w:p>
    <w:p w:rsidR="00BD4050" w:rsidRPr="00CE11DB" w:rsidRDefault="00A71A07" w:rsidP="005546D8">
      <w:pPr>
        <w:pStyle w:val="ListParagraph"/>
        <w:numPr>
          <w:ilvl w:val="0"/>
          <w:numId w:val="20"/>
        </w:numPr>
        <w:spacing w:after="0"/>
      </w:pPr>
      <w:r>
        <w:t xml:space="preserve"> </w:t>
      </w:r>
      <w:r w:rsidR="00DA50F3">
        <w:t xml:space="preserve">The </w:t>
      </w:r>
      <w:r w:rsidR="00311500" w:rsidRPr="00CE11DB">
        <w:t xml:space="preserve">percentage </w:t>
      </w:r>
      <w:r w:rsidR="00347C74">
        <w:t>of students completing a Ph.D. within six</w:t>
      </w:r>
      <w:r w:rsidR="00311500" w:rsidRPr="00CE11DB">
        <w:t xml:space="preserve"> years </w:t>
      </w:r>
      <w:r>
        <w:t>of completion of their</w:t>
      </w:r>
      <w:r w:rsidR="00347C74">
        <w:t xml:space="preserve"> undergraduate degree is </w:t>
      </w:r>
      <w:r w:rsidR="00312A2C">
        <w:t>approximately</w:t>
      </w:r>
      <w:r w:rsidR="00311500" w:rsidRPr="00CE11DB">
        <w:t>:</w:t>
      </w:r>
    </w:p>
    <w:p w:rsidR="00CE11DB" w:rsidRDefault="00311500" w:rsidP="005546D8">
      <w:pPr>
        <w:numPr>
          <w:ilvl w:val="1"/>
          <w:numId w:val="20"/>
        </w:numPr>
        <w:spacing w:after="0"/>
      </w:pPr>
      <w:r w:rsidRPr="00CE11DB">
        <w:t>2</w:t>
      </w:r>
      <w:r w:rsidR="006851DB">
        <w:t>.5</w:t>
      </w:r>
      <w:r w:rsidRPr="00CE11DB">
        <w:t>% for graduates from research universities</w:t>
      </w:r>
    </w:p>
    <w:p w:rsidR="00312A2C" w:rsidRDefault="00A71A07" w:rsidP="005546D8">
      <w:pPr>
        <w:numPr>
          <w:ilvl w:val="1"/>
          <w:numId w:val="20"/>
        </w:numPr>
        <w:spacing w:after="0"/>
      </w:pPr>
      <w:r>
        <w:t>1.0</w:t>
      </w:r>
      <w:r w:rsidR="00E53CCD">
        <w:t>% for graduates from four</w:t>
      </w:r>
      <w:r w:rsidR="00312A2C">
        <w:t>-year colleges</w:t>
      </w:r>
    </w:p>
    <w:p w:rsidR="00AB2F73" w:rsidRDefault="00CE11DB" w:rsidP="005546D8">
      <w:pPr>
        <w:numPr>
          <w:ilvl w:val="1"/>
          <w:numId w:val="20"/>
        </w:numPr>
        <w:spacing w:after="0"/>
      </w:pPr>
      <w:r w:rsidRPr="00CE11DB">
        <w:t xml:space="preserve">0.5% for graduates from </w:t>
      </w:r>
      <w:r w:rsidR="00E53CCD">
        <w:t>m</w:t>
      </w:r>
      <w:r w:rsidR="00EE6FD3">
        <w:t>aster</w:t>
      </w:r>
      <w:r w:rsidR="00312A2C">
        <w:t>’s institutions</w:t>
      </w:r>
    </w:p>
    <w:p w:rsidR="00BF25FD" w:rsidRDefault="00C53A7D" w:rsidP="005546D8">
      <w:pPr>
        <w:numPr>
          <w:ilvl w:val="0"/>
          <w:numId w:val="20"/>
        </w:numPr>
        <w:spacing w:after="0"/>
      </w:pPr>
      <w:r>
        <w:t xml:space="preserve">A small number of </w:t>
      </w:r>
      <w:r w:rsidR="00DA50F3">
        <w:t xml:space="preserve">baccalaureate </w:t>
      </w:r>
      <w:r>
        <w:t>in</w:t>
      </w:r>
      <w:r w:rsidR="00AB2F73">
        <w:t xml:space="preserve">stitutions </w:t>
      </w:r>
      <w:r w:rsidR="00DA50F3">
        <w:t xml:space="preserve">produce a large number of undergraduates who go on to get </w:t>
      </w:r>
      <w:r w:rsidR="00BF25FD">
        <w:t>Ph.D.’s</w:t>
      </w:r>
      <w:r w:rsidR="00DA50F3">
        <w:t xml:space="preserve"> in computer science</w:t>
      </w:r>
      <w:r w:rsidR="00BF25FD">
        <w:t xml:space="preserve">. </w:t>
      </w:r>
      <w:r w:rsidR="00DA50F3">
        <w:t xml:space="preserve"> For example, </w:t>
      </w:r>
      <w:r w:rsidR="00AB2F73">
        <w:t>m</w:t>
      </w:r>
      <w:r w:rsidR="00BF25FD">
        <w:t xml:space="preserve">ore than 10% of domestic students obtaining Ph.D.’s in computer science received their undergraduate degrees at just four institutions (MIT, Berkeley, CMU, and Cornell). </w:t>
      </w:r>
    </w:p>
    <w:p w:rsidR="0032394D" w:rsidRDefault="0032394D" w:rsidP="005546D8">
      <w:pPr>
        <w:pStyle w:val="ListParagraph"/>
        <w:numPr>
          <w:ilvl w:val="0"/>
          <w:numId w:val="20"/>
        </w:numPr>
        <w:spacing w:after="0"/>
      </w:pPr>
      <w:r>
        <w:t>Approximately 50% of dome</w:t>
      </w:r>
      <w:r w:rsidR="00FB6BE2">
        <w:t>stic Ph.D. students come from 54</w:t>
      </w:r>
      <w:r>
        <w:t xml:space="preserve"> institutions of baccal</w:t>
      </w:r>
      <w:r w:rsidR="00D8095D">
        <w:t>aureate origin and the other</w:t>
      </w:r>
      <w:r>
        <w:t xml:space="preserve"> 50% come from </w:t>
      </w:r>
      <w:r w:rsidR="00D8095D">
        <w:t xml:space="preserve">over </w:t>
      </w:r>
      <w:r w:rsidR="00FB6BE2">
        <w:t>747 i</w:t>
      </w:r>
      <w:r>
        <w:t>nstitutions.</w:t>
      </w:r>
    </w:p>
    <w:p w:rsidR="00D83ACF" w:rsidRPr="004546CD" w:rsidRDefault="001B7EAA" w:rsidP="005546D8">
      <w:pPr>
        <w:pStyle w:val="ListParagraph"/>
        <w:numPr>
          <w:ilvl w:val="0"/>
          <w:numId w:val="20"/>
        </w:numPr>
        <w:spacing w:after="0"/>
        <w:rPr>
          <w:b/>
        </w:rPr>
      </w:pPr>
      <w:r>
        <w:t>The top 25</w:t>
      </w:r>
      <w:r w:rsidR="00845942">
        <w:t xml:space="preserve"> liberal arts college</w:t>
      </w:r>
      <w:r w:rsidR="00185187">
        <w:t>s</w:t>
      </w:r>
      <w:r w:rsidR="00845942">
        <w:t xml:space="preserve"> (according to the U.S. News and World Report ranking</w:t>
      </w:r>
      <w:r w:rsidR="00D83ACF">
        <w:t xml:space="preserve">) </w:t>
      </w:r>
      <w:r w:rsidR="001F2D50">
        <w:t xml:space="preserve">collectively </w:t>
      </w:r>
      <w:r w:rsidR="00D83ACF">
        <w:t>produce a significant</w:t>
      </w:r>
      <w:r w:rsidR="001F2D50">
        <w:t xml:space="preserve"> fraction of domestic students </w:t>
      </w:r>
      <w:r w:rsidR="00951402">
        <w:t>receiving a</w:t>
      </w:r>
      <w:r w:rsidR="00FB6BE2">
        <w:t xml:space="preserve"> </w:t>
      </w:r>
      <w:r w:rsidR="001F2D50">
        <w:t>Ph.</w:t>
      </w:r>
      <w:r w:rsidR="00951402">
        <w:t>D.</w:t>
      </w:r>
      <w:r>
        <w:t>, exceeding the production of any single university.</w:t>
      </w:r>
    </w:p>
    <w:p w:rsidR="00FC1489" w:rsidRPr="00FC1489" w:rsidRDefault="004546CD" w:rsidP="005546D8">
      <w:pPr>
        <w:pStyle w:val="ListParagraph"/>
        <w:numPr>
          <w:ilvl w:val="0"/>
          <w:numId w:val="20"/>
        </w:numPr>
        <w:spacing w:after="0"/>
        <w:rPr>
          <w:b/>
          <w:u w:val="single"/>
        </w:rPr>
      </w:pPr>
      <w:r>
        <w:t xml:space="preserve">NSF Graduate Fellowship awards </w:t>
      </w:r>
      <w:r w:rsidR="00347C74">
        <w:t>can be viewed as a proxy for</w:t>
      </w:r>
      <w:r>
        <w:t xml:space="preserve"> “top” students.</w:t>
      </w:r>
      <w:r w:rsidR="00FB6BE2">
        <w:t xml:space="preserve">  Since 2003, g</w:t>
      </w:r>
      <w:r w:rsidR="00807793">
        <w:t>raduate</w:t>
      </w:r>
      <w:r w:rsidR="00DA50F3">
        <w:t>s</w:t>
      </w:r>
      <w:r w:rsidR="00807793">
        <w:t xml:space="preserve"> of research universities receive 80-90% of the awards.  Graduates of five institutions each </w:t>
      </w:r>
      <w:r w:rsidR="00BF7571">
        <w:t xml:space="preserve">received </w:t>
      </w:r>
      <w:r w:rsidR="00FB6BE2">
        <w:t xml:space="preserve">between 4 and </w:t>
      </w:r>
      <w:r w:rsidR="00BF7571">
        <w:t xml:space="preserve">5% of the awards </w:t>
      </w:r>
      <w:r w:rsidR="00807793">
        <w:t>for a total of over 20% of all awards.  Collectively, graduates of the</w:t>
      </w:r>
      <w:r w:rsidR="00FC1489">
        <w:t xml:space="preserve"> </w:t>
      </w:r>
      <w:r w:rsidR="001B7EAA">
        <w:t>top 25</w:t>
      </w:r>
      <w:r w:rsidR="00FC1489">
        <w:t xml:space="preserve"> liberal </w:t>
      </w:r>
      <w:r w:rsidR="00807793">
        <w:t>arts c</w:t>
      </w:r>
      <w:r w:rsidR="00A100AD">
        <w:t>olleges received approximately 6</w:t>
      </w:r>
      <w:r w:rsidR="00807793">
        <w:t>% of</w:t>
      </w:r>
      <w:r w:rsidR="00A100AD">
        <w:t xml:space="preserve"> the awards. </w:t>
      </w:r>
    </w:p>
    <w:p w:rsidR="00FC1489" w:rsidRPr="00FC1489" w:rsidRDefault="00FC1489" w:rsidP="00FC1489">
      <w:pPr>
        <w:pStyle w:val="ListParagraph"/>
        <w:spacing w:after="0"/>
        <w:rPr>
          <w:b/>
          <w:u w:val="single"/>
        </w:rPr>
      </w:pPr>
    </w:p>
    <w:p w:rsidR="004546CD" w:rsidRPr="00DA2359" w:rsidRDefault="00DA2359" w:rsidP="00FC1489">
      <w:pPr>
        <w:spacing w:after="0"/>
        <w:rPr>
          <w:b/>
          <w:sz w:val="28"/>
          <w:szCs w:val="28"/>
        </w:rPr>
      </w:pPr>
      <w:r>
        <w:rPr>
          <w:b/>
          <w:sz w:val="28"/>
          <w:szCs w:val="28"/>
        </w:rPr>
        <w:t xml:space="preserve">4.  </w:t>
      </w:r>
      <w:r w:rsidR="004546CD" w:rsidRPr="00DA2359">
        <w:rPr>
          <w:b/>
          <w:sz w:val="28"/>
          <w:szCs w:val="28"/>
        </w:rPr>
        <w:t xml:space="preserve">Findings in Detail </w:t>
      </w:r>
    </w:p>
    <w:p w:rsidR="00DA2359" w:rsidRDefault="00DA2359" w:rsidP="004546CD">
      <w:pPr>
        <w:pStyle w:val="ListParagraph"/>
        <w:spacing w:after="0"/>
        <w:ind w:left="0"/>
        <w:rPr>
          <w:b/>
        </w:rPr>
      </w:pPr>
    </w:p>
    <w:p w:rsidR="00EC21D8" w:rsidRPr="00EC21D8" w:rsidRDefault="00EC21D8" w:rsidP="004546CD">
      <w:pPr>
        <w:pStyle w:val="ListParagraph"/>
        <w:spacing w:after="0"/>
        <w:ind w:left="0"/>
        <w:rPr>
          <w:b/>
          <w:sz w:val="24"/>
          <w:szCs w:val="24"/>
        </w:rPr>
      </w:pPr>
      <w:r>
        <w:rPr>
          <w:b/>
          <w:sz w:val="24"/>
          <w:szCs w:val="24"/>
        </w:rPr>
        <w:t xml:space="preserve">4.1 </w:t>
      </w:r>
      <w:r w:rsidRPr="00EC21D8">
        <w:rPr>
          <w:b/>
          <w:sz w:val="24"/>
          <w:szCs w:val="24"/>
        </w:rPr>
        <w:t>Domestic “Production”</w:t>
      </w:r>
    </w:p>
    <w:p w:rsidR="00EC21D8" w:rsidRDefault="00EC21D8" w:rsidP="004546CD">
      <w:pPr>
        <w:pStyle w:val="ListParagraph"/>
        <w:spacing w:after="0"/>
        <w:ind w:left="0"/>
        <w:rPr>
          <w:b/>
        </w:rPr>
      </w:pPr>
    </w:p>
    <w:p w:rsidR="002B2F44" w:rsidRDefault="00364CB2" w:rsidP="004546CD">
      <w:pPr>
        <w:pStyle w:val="ListParagraph"/>
        <w:spacing w:after="0"/>
        <w:ind w:left="0"/>
      </w:pPr>
      <w:r>
        <w:t xml:space="preserve">For the last two decades, </w:t>
      </w:r>
      <w:r w:rsidR="005F28DC">
        <w:t xml:space="preserve">U.S. </w:t>
      </w:r>
      <w:r>
        <w:t>r</w:t>
      </w:r>
      <w:r w:rsidR="00933390">
        <w:t>esearch universities and m</w:t>
      </w:r>
      <w:r w:rsidR="00D30811">
        <w:t xml:space="preserve">aster’s institutions </w:t>
      </w:r>
      <w:r>
        <w:t xml:space="preserve">have </w:t>
      </w:r>
      <w:r w:rsidR="00D30811">
        <w:t>produce</w:t>
      </w:r>
      <w:r w:rsidR="0070279C">
        <w:t>d</w:t>
      </w:r>
      <w:r w:rsidR="00D30811">
        <w:t xml:space="preserve"> roughly the same number of undergradua</w:t>
      </w:r>
      <w:r w:rsidR="0070279C">
        <w:t xml:space="preserve">te degrees in computer science. Together, these two classes of institutions </w:t>
      </w:r>
      <w:r w:rsidR="005546D8">
        <w:t>account for almost 9</w:t>
      </w:r>
      <w:r w:rsidR="00D30811">
        <w:t xml:space="preserve">0% of </w:t>
      </w:r>
      <w:r w:rsidR="00066AA3">
        <w:t xml:space="preserve">all </w:t>
      </w:r>
      <w:r w:rsidR="00D30811">
        <w:t>undergraduate degrees</w:t>
      </w:r>
      <w:r>
        <w:t xml:space="preserve"> awarded</w:t>
      </w:r>
      <w:r w:rsidR="00D30811">
        <w:t>.</w:t>
      </w:r>
      <w:r w:rsidR="00B26D8F">
        <w:t xml:space="preserve">  Four-</w:t>
      </w:r>
      <w:r w:rsidR="001E0D90">
        <w:t>ye</w:t>
      </w:r>
      <w:r w:rsidR="005546D8">
        <w:t>ar colleges account for about 10</w:t>
      </w:r>
      <w:r w:rsidR="001E0D90">
        <w:t>% of degrees</w:t>
      </w:r>
      <w:r w:rsidR="002870A4">
        <w:t xml:space="preserve"> (Figure 3). </w:t>
      </w:r>
    </w:p>
    <w:p w:rsidR="005546D8" w:rsidRDefault="005546D8" w:rsidP="004546CD">
      <w:pPr>
        <w:pStyle w:val="ListParagraph"/>
        <w:spacing w:after="0"/>
        <w:ind w:left="0"/>
      </w:pPr>
    </w:p>
    <w:p w:rsidR="00CE4E5A" w:rsidRDefault="00CE4E5A" w:rsidP="00CE4E5A">
      <w:pPr>
        <w:pStyle w:val="ListParagraph"/>
        <w:keepNext/>
        <w:spacing w:after="0"/>
        <w:ind w:left="0"/>
        <w:jc w:val="center"/>
      </w:pPr>
      <w:r w:rsidRPr="00CE4E5A">
        <w:rPr>
          <w:noProof/>
        </w:rPr>
        <w:drawing>
          <wp:inline distT="0" distB="0" distL="0" distR="0">
            <wp:extent cx="5337313" cy="3210339"/>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70A4" w:rsidRPr="002B2F44" w:rsidRDefault="00CE4E5A" w:rsidP="00CE4E5A">
      <w:pPr>
        <w:pStyle w:val="Caption"/>
        <w:rPr>
          <w:b w:val="0"/>
          <w:color w:val="auto"/>
          <w:sz w:val="22"/>
          <w:szCs w:val="22"/>
        </w:rPr>
      </w:pPr>
      <w:r w:rsidRPr="00CE4E5A">
        <w:rPr>
          <w:color w:val="auto"/>
          <w:sz w:val="22"/>
        </w:rPr>
        <w:t xml:space="preserve">Figure </w:t>
      </w:r>
      <w:r w:rsidR="003745C4">
        <w:rPr>
          <w:color w:val="auto"/>
          <w:sz w:val="22"/>
        </w:rPr>
        <w:t>3</w:t>
      </w:r>
      <w:r w:rsidRPr="00CE4E5A">
        <w:rPr>
          <w:b w:val="0"/>
          <w:color w:val="auto"/>
          <w:sz w:val="22"/>
        </w:rPr>
        <w:t xml:space="preserve">: </w:t>
      </w:r>
      <w:r w:rsidRPr="002B2F44">
        <w:rPr>
          <w:b w:val="0"/>
          <w:color w:val="auto"/>
          <w:sz w:val="22"/>
          <w:szCs w:val="22"/>
        </w:rPr>
        <w:t xml:space="preserve">Percentage of </w:t>
      </w:r>
      <w:r w:rsidR="00C640B2">
        <w:rPr>
          <w:b w:val="0"/>
          <w:color w:val="auto"/>
          <w:sz w:val="22"/>
          <w:szCs w:val="22"/>
        </w:rPr>
        <w:t xml:space="preserve">domestic </w:t>
      </w:r>
      <w:r w:rsidRPr="002B2F44">
        <w:rPr>
          <w:b w:val="0"/>
          <w:color w:val="auto"/>
          <w:sz w:val="22"/>
          <w:szCs w:val="22"/>
        </w:rPr>
        <w:t xml:space="preserve">bachelor degrees awarded </w:t>
      </w:r>
      <w:r w:rsidR="002B2F44" w:rsidRPr="002B2F44">
        <w:rPr>
          <w:b w:val="0"/>
          <w:color w:val="auto"/>
          <w:sz w:val="22"/>
          <w:szCs w:val="22"/>
        </w:rPr>
        <w:t>in computer science by type of institution</w:t>
      </w:r>
    </w:p>
    <w:p w:rsidR="00364CB2" w:rsidRDefault="00364CB2" w:rsidP="004546CD">
      <w:pPr>
        <w:pStyle w:val="ListParagraph"/>
        <w:spacing w:after="0"/>
        <w:ind w:left="0"/>
        <w:rPr>
          <w:noProof/>
        </w:rPr>
      </w:pPr>
    </w:p>
    <w:p w:rsidR="00812088" w:rsidRDefault="00812088" w:rsidP="00812088">
      <w:pPr>
        <w:pStyle w:val="ListParagraph"/>
        <w:spacing w:after="0"/>
        <w:ind w:left="0"/>
      </w:pPr>
      <w:r>
        <w:t xml:space="preserve">Figure </w:t>
      </w:r>
      <w:r w:rsidR="005546D8">
        <w:t>4 uses the same data as Figure 3</w:t>
      </w:r>
      <w:r>
        <w:t xml:space="preserve"> and shows the actual numbers of degrees awarded. </w:t>
      </w:r>
    </w:p>
    <w:p w:rsidR="00812088" w:rsidRDefault="00812088" w:rsidP="004546CD">
      <w:pPr>
        <w:pStyle w:val="ListParagraph"/>
        <w:spacing w:after="0"/>
        <w:ind w:left="0"/>
        <w:rPr>
          <w:noProof/>
        </w:rPr>
      </w:pPr>
    </w:p>
    <w:p w:rsidR="00D30811" w:rsidRDefault="00CE4E5A" w:rsidP="000A6F9F">
      <w:pPr>
        <w:pStyle w:val="ListParagraph"/>
        <w:spacing w:after="0"/>
        <w:ind w:left="0"/>
        <w:jc w:val="center"/>
        <w:rPr>
          <w:noProof/>
        </w:rPr>
      </w:pPr>
      <w:r w:rsidRPr="00CE4E5A">
        <w:rPr>
          <w:noProof/>
        </w:rPr>
        <w:drawing>
          <wp:inline distT="0" distB="0" distL="0" distR="0">
            <wp:extent cx="5067300" cy="272034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617A" w:rsidRDefault="006A617A" w:rsidP="004546CD">
      <w:pPr>
        <w:pStyle w:val="ListParagraph"/>
        <w:spacing w:after="0"/>
        <w:ind w:left="0"/>
      </w:pPr>
    </w:p>
    <w:p w:rsidR="001E0D90" w:rsidRDefault="00E05FE2" w:rsidP="00E05FE2">
      <w:pPr>
        <w:pStyle w:val="ListParagraph"/>
        <w:spacing w:after="0"/>
        <w:ind w:left="0"/>
        <w:jc w:val="center"/>
      </w:pPr>
      <w:r w:rsidRPr="00E05FE2">
        <w:rPr>
          <w:b/>
        </w:rPr>
        <w:t>F</w:t>
      </w:r>
      <w:r w:rsidR="002870A4" w:rsidRPr="00E05FE2">
        <w:rPr>
          <w:b/>
        </w:rPr>
        <w:t>igure 4</w:t>
      </w:r>
      <w:r w:rsidR="006828F8">
        <w:t>:  Number of</w:t>
      </w:r>
      <w:r w:rsidR="00C640B2">
        <w:t xml:space="preserve"> domestic</w:t>
      </w:r>
      <w:r w:rsidR="006828F8">
        <w:t xml:space="preserve"> u</w:t>
      </w:r>
      <w:r w:rsidR="001E0D90">
        <w:t>ndergraduate degrees awarded in computer science by type of institution.</w:t>
      </w:r>
    </w:p>
    <w:p w:rsidR="001E0D90" w:rsidRDefault="001E0D90" w:rsidP="004546CD">
      <w:pPr>
        <w:pStyle w:val="ListParagraph"/>
        <w:spacing w:after="0"/>
        <w:ind w:left="0"/>
      </w:pPr>
    </w:p>
    <w:p w:rsidR="00C27055" w:rsidRDefault="005F28DC" w:rsidP="004546CD">
      <w:pPr>
        <w:pStyle w:val="ListParagraph"/>
        <w:spacing w:after="0"/>
        <w:ind w:left="0"/>
      </w:pPr>
      <w:r>
        <w:t xml:space="preserve">Next, we use WebCASPAR data to examine the baccalaureate origins of all students receiving Ph.D.’s in computer science in the U.S. </w:t>
      </w:r>
      <w:r w:rsidR="00933390">
        <w:t xml:space="preserve"> </w:t>
      </w:r>
      <w:r>
        <w:t>I</w:t>
      </w:r>
      <w:r w:rsidR="00C27055">
        <w:t>n 2010</w:t>
      </w:r>
      <w:r w:rsidR="00985C07">
        <w:t>,</w:t>
      </w:r>
      <w:r>
        <w:t xml:space="preserve"> 1665</w:t>
      </w:r>
      <w:r w:rsidR="00C27055">
        <w:t xml:space="preserve"> Ph.D.’s</w:t>
      </w:r>
      <w:r>
        <w:t xml:space="preserve"> were awarded in computer science of which 714 went</w:t>
      </w:r>
      <w:r w:rsidR="00933390">
        <w:t xml:space="preserve"> to</w:t>
      </w:r>
      <w:r>
        <w:t xml:space="preserve"> </w:t>
      </w:r>
      <w:r w:rsidR="00C27055">
        <w:t>domestic students</w:t>
      </w:r>
      <w:r>
        <w:t xml:space="preserve">.   Approximately 71% of the domestic </w:t>
      </w:r>
      <w:r w:rsidR="00C27055">
        <w:t>Ph.D.’s received their undergraduate degree</w:t>
      </w:r>
      <w:r>
        <w:t>s</w:t>
      </w:r>
      <w:r w:rsidR="00933390">
        <w:t xml:space="preserve"> from research universities</w:t>
      </w:r>
      <w:r>
        <w:t>, 15% from</w:t>
      </w:r>
      <w:r w:rsidR="00C27055">
        <w:t xml:space="preserve"> master’s institutions,</w:t>
      </w:r>
      <w:r w:rsidR="00185187">
        <w:t xml:space="preserve"> </w:t>
      </w:r>
      <w:r w:rsidR="00933390">
        <w:t>11% from four-</w:t>
      </w:r>
      <w:r w:rsidR="00290634">
        <w:t>year colleges</w:t>
      </w:r>
      <w:r w:rsidR="00185187">
        <w:t>, and 4% from other colleges</w:t>
      </w:r>
      <w:r w:rsidR="00290634">
        <w:t>.  These proportions have remained essentially unchanged since 2000 with all four types seeing similar increases since 2005.</w:t>
      </w:r>
      <w:r w:rsidR="00933390">
        <w:t xml:space="preserve">  These data are summarized in Figure 5.  </w:t>
      </w:r>
    </w:p>
    <w:p w:rsidR="005F5365" w:rsidRDefault="0031069E" w:rsidP="0031069E">
      <w:pPr>
        <w:pStyle w:val="ListParagraph"/>
        <w:spacing w:after="0"/>
        <w:ind w:left="0"/>
        <w:jc w:val="center"/>
      </w:pPr>
      <w:r w:rsidRPr="002B2F44">
        <w:rPr>
          <w:noProof/>
        </w:rPr>
        <w:drawing>
          <wp:inline distT="0" distB="0" distL="0" distR="0">
            <wp:extent cx="4655820" cy="2781300"/>
            <wp:effectExtent l="0" t="0" r="0"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2F44" w:rsidRDefault="002B2F44" w:rsidP="000A6F9F">
      <w:pPr>
        <w:pStyle w:val="ListParagraph"/>
        <w:keepNext/>
        <w:spacing w:after="0"/>
        <w:ind w:left="0"/>
        <w:jc w:val="center"/>
      </w:pPr>
    </w:p>
    <w:p w:rsidR="002B2F44" w:rsidRPr="002B2F44" w:rsidRDefault="002B2F44" w:rsidP="002B2F44">
      <w:pPr>
        <w:pStyle w:val="Caption"/>
        <w:jc w:val="center"/>
        <w:rPr>
          <w:b w:val="0"/>
          <w:color w:val="auto"/>
          <w:sz w:val="22"/>
        </w:rPr>
      </w:pPr>
      <w:r w:rsidRPr="002B2F44">
        <w:rPr>
          <w:color w:val="auto"/>
          <w:sz w:val="22"/>
        </w:rPr>
        <w:t>Figure 5:</w:t>
      </w:r>
      <w:r w:rsidRPr="002B2F44">
        <w:rPr>
          <w:b w:val="0"/>
          <w:color w:val="auto"/>
          <w:sz w:val="22"/>
        </w:rPr>
        <w:t xml:space="preserve"> Computer Science Ph.D.’s granted to domestic students by type of baccalaureate institution </w:t>
      </w:r>
    </w:p>
    <w:p w:rsidR="00290634" w:rsidRDefault="00290634" w:rsidP="005D4CC5">
      <w:pPr>
        <w:pStyle w:val="ListParagraph"/>
        <w:spacing w:after="0"/>
        <w:ind w:left="0"/>
      </w:pPr>
    </w:p>
    <w:p w:rsidR="005F5365" w:rsidRDefault="005F5365" w:rsidP="005F5365">
      <w:pPr>
        <w:pStyle w:val="ListParagraph"/>
        <w:spacing w:after="0"/>
        <w:ind w:left="0"/>
      </w:pPr>
      <w:r>
        <w:t xml:space="preserve">While research and master’s institutions have consistently produced approximately the same number of computer science undergraduates, the representation of their undergraduates among Ph.D. recipients differs considerably, as evident from Figure 5. </w:t>
      </w:r>
    </w:p>
    <w:p w:rsidR="005F5365" w:rsidRDefault="005F5365" w:rsidP="005F5365">
      <w:pPr>
        <w:pStyle w:val="ListParagraph"/>
        <w:spacing w:after="0"/>
        <w:ind w:left="0"/>
      </w:pPr>
    </w:p>
    <w:p w:rsidR="002B2F44" w:rsidRDefault="00E05FE2" w:rsidP="005D4CC5">
      <w:pPr>
        <w:pStyle w:val="ListParagraph"/>
        <w:spacing w:after="0"/>
        <w:ind w:left="0"/>
      </w:pPr>
      <w:r>
        <w:t>Figure 6</w:t>
      </w:r>
      <w:r w:rsidR="00605C32">
        <w:t xml:space="preserve"> </w:t>
      </w:r>
      <w:r w:rsidR="005C34DB">
        <w:t>considers the</w:t>
      </w:r>
      <w:r w:rsidR="00C640B2">
        <w:t xml:space="preserve"> domestic</w:t>
      </w:r>
      <w:r w:rsidR="00290634">
        <w:t xml:space="preserve"> undergraduate-</w:t>
      </w:r>
      <w:r w:rsidR="006851DB">
        <w:t>to-</w:t>
      </w:r>
      <w:r w:rsidR="00CA280E">
        <w:t xml:space="preserve">PhD </w:t>
      </w:r>
      <w:r w:rsidR="00290634">
        <w:t>pipeline for research, m</w:t>
      </w:r>
      <w:r w:rsidR="00CA280E">
        <w:t>as</w:t>
      </w:r>
      <w:r w:rsidR="005C34DB">
        <w:t>ter</w:t>
      </w:r>
      <w:r w:rsidR="00290634">
        <w:t>’</w:t>
      </w:r>
      <w:r w:rsidR="005C34DB">
        <w:t>s, and 4-year institutions by relating the</w:t>
      </w:r>
      <w:r w:rsidR="00CA280E">
        <w:t xml:space="preserve"> total number of students receiving an undergraduate</w:t>
      </w:r>
      <w:r w:rsidR="00C640B2">
        <w:t xml:space="preserve"> computer science</w:t>
      </w:r>
      <w:r w:rsidR="00CA280E">
        <w:t xml:space="preserve"> degree to the number </w:t>
      </w:r>
      <w:r w:rsidR="00096BBF">
        <w:t>of Ph.D</w:t>
      </w:r>
      <w:r w:rsidR="00605C32">
        <w:t>.</w:t>
      </w:r>
      <w:r w:rsidR="00CA280E">
        <w:t>’s</w:t>
      </w:r>
      <w:r w:rsidR="00605C32">
        <w:t xml:space="preserve"> in computer science </w:t>
      </w:r>
      <w:r w:rsidR="00C640B2">
        <w:t>within</w:t>
      </w:r>
      <w:r w:rsidR="00CA280E">
        <w:t xml:space="preserve"> </w:t>
      </w:r>
      <w:r w:rsidR="00605C32">
        <w:t>6 years of comp</w:t>
      </w:r>
      <w:r w:rsidR="004502D3">
        <w:t>letion of u</w:t>
      </w:r>
      <w:r w:rsidR="00CA280E">
        <w:t>ndergraduate studies</w:t>
      </w:r>
      <w:r w:rsidR="004502D3">
        <w:t xml:space="preserve">.  </w:t>
      </w:r>
      <w:r w:rsidR="001D0E35">
        <w:t xml:space="preserve">The figure is based on Ph.D.s received between 2000 and 2010 and assumes that each recipient received the baccalaureate degree six years earlier.  </w:t>
      </w:r>
      <w:r w:rsidR="00C640B2">
        <w:t>While t</w:t>
      </w:r>
      <w:r w:rsidR="006851DB">
        <w:t>he</w:t>
      </w:r>
      <w:r w:rsidR="00544AF5">
        <w:t xml:space="preserve"> fractions are very smal</w:t>
      </w:r>
      <w:r w:rsidR="006851DB">
        <w:t xml:space="preserve">l for </w:t>
      </w:r>
      <w:r w:rsidR="005C34DB">
        <w:t>each type</w:t>
      </w:r>
      <w:r w:rsidR="00C640B2">
        <w:t xml:space="preserve"> of institution,</w:t>
      </w:r>
      <w:r w:rsidR="006851DB">
        <w:t xml:space="preserve"> </w:t>
      </w:r>
      <w:r w:rsidR="00B07128">
        <w:t>research universities produce students at a rate that is more than twice as high as four-year colleges and roughly five times as high as master’s institutions.</w:t>
      </w:r>
    </w:p>
    <w:p w:rsidR="00605C32" w:rsidRDefault="00605C32" w:rsidP="000A6F9F">
      <w:pPr>
        <w:pStyle w:val="ListParagraph"/>
        <w:spacing w:after="0"/>
        <w:ind w:left="0"/>
        <w:jc w:val="center"/>
        <w:rPr>
          <w:noProof/>
        </w:rPr>
      </w:pPr>
    </w:p>
    <w:p w:rsidR="001D0E35" w:rsidRPr="00B636B5" w:rsidRDefault="001D0E35" w:rsidP="001D0E35">
      <w:pPr>
        <w:pStyle w:val="ListParagraph"/>
        <w:spacing w:after="0"/>
        <w:ind w:left="0"/>
        <w:jc w:val="center"/>
      </w:pPr>
      <w:r w:rsidRPr="001D0E35">
        <w:rPr>
          <w:noProof/>
        </w:rPr>
        <w:drawing>
          <wp:inline distT="0" distB="0" distL="0" distR="0">
            <wp:extent cx="5585460" cy="297942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5C32" w:rsidRDefault="00E05FE2" w:rsidP="00B636B5">
      <w:pPr>
        <w:pStyle w:val="ListParagraph"/>
        <w:spacing w:after="0"/>
        <w:ind w:left="0"/>
        <w:jc w:val="center"/>
      </w:pPr>
      <w:r w:rsidRPr="00B636B5">
        <w:rPr>
          <w:b/>
        </w:rPr>
        <w:t>Figure 6</w:t>
      </w:r>
      <w:r w:rsidR="00605C32" w:rsidRPr="00B636B5">
        <w:rPr>
          <w:b/>
        </w:rPr>
        <w:t>:</w:t>
      </w:r>
      <w:r w:rsidR="00605C32">
        <w:t xml:space="preserve">  Percentage of domestic CS students who complete a PhD within 6 years of completing undergraduate studies by type of baccalaureate institution of origin.  Horizontal axis indicates year of completion of undergraduate studies.</w:t>
      </w:r>
    </w:p>
    <w:p w:rsidR="00605C32" w:rsidRDefault="00605C32" w:rsidP="005D4CC5">
      <w:pPr>
        <w:pStyle w:val="ListParagraph"/>
        <w:spacing w:after="0"/>
        <w:ind w:left="0"/>
        <w:rPr>
          <w:b/>
        </w:rPr>
      </w:pPr>
    </w:p>
    <w:p w:rsidR="00AD22B0" w:rsidRDefault="005817A1" w:rsidP="005D4CC5">
      <w:pPr>
        <w:pStyle w:val="ListParagraph"/>
        <w:spacing w:after="0"/>
        <w:ind w:left="0"/>
      </w:pPr>
      <w:r>
        <w:t>In the eleven year period from the beginning of 2000 to the end of</w:t>
      </w:r>
      <w:r w:rsidR="00341F8C">
        <w:t xml:space="preserve"> 2010, </w:t>
      </w:r>
      <w:r w:rsidR="00B07128">
        <w:t xml:space="preserve">a total of </w:t>
      </w:r>
      <w:r w:rsidR="00341F8C">
        <w:t xml:space="preserve">5,257 </w:t>
      </w:r>
      <w:r w:rsidR="00AD22B0">
        <w:t xml:space="preserve">domestic students </w:t>
      </w:r>
      <w:r w:rsidR="00341F8C">
        <w:t xml:space="preserve">received a baccalaureate degree </w:t>
      </w:r>
      <w:r w:rsidR="00981226">
        <w:t xml:space="preserve">and a Ph.D. in computer science </w:t>
      </w:r>
      <w:r w:rsidR="00341F8C">
        <w:t>from a U</w:t>
      </w:r>
      <w:r w:rsidR="00DD71BB">
        <w:t>.</w:t>
      </w:r>
      <w:r w:rsidR="00341F8C">
        <w:t>S</w:t>
      </w:r>
      <w:r w:rsidR="00DD71BB">
        <w:t>.</w:t>
      </w:r>
      <w:r w:rsidR="00341F8C">
        <w:t xml:space="preserve"> institution. A total of 801 U.S. </w:t>
      </w:r>
      <w:r w:rsidR="00AD22B0">
        <w:t>institution</w:t>
      </w:r>
      <w:r w:rsidR="00B40112">
        <w:t>s</w:t>
      </w:r>
      <w:r w:rsidR="00341F8C">
        <w:t xml:space="preserve"> awarded baccalaureate degrees to these 5,257 students.  </w:t>
      </w:r>
      <w:r w:rsidR="00AD22B0">
        <w:t>For each</w:t>
      </w:r>
      <w:r w:rsidR="00981226">
        <w:t xml:space="preserve"> of these 801</w:t>
      </w:r>
      <w:r w:rsidR="00AD22B0">
        <w:t xml:space="preserve"> </w:t>
      </w:r>
      <w:r w:rsidR="009E1813">
        <w:t>baccalaureate institution</w:t>
      </w:r>
      <w:r w:rsidR="00DD71BB">
        <w:t>s</w:t>
      </w:r>
      <w:r w:rsidR="00AD22B0">
        <w:t>,</w:t>
      </w:r>
      <w:r w:rsidR="009E1813">
        <w:t xml:space="preserve"> we divided the total number of its graduates who received Ph.D.’s during that </w:t>
      </w:r>
      <w:r w:rsidR="00341F8C">
        <w:t>time</w:t>
      </w:r>
      <w:r>
        <w:t xml:space="preserve"> by 11</w:t>
      </w:r>
      <w:r w:rsidR="00341F8C">
        <w:t xml:space="preserve"> </w:t>
      </w:r>
      <w:r w:rsidR="00323D82">
        <w:t xml:space="preserve">to obtain an </w:t>
      </w:r>
      <w:r w:rsidR="00323D82" w:rsidRPr="00EC21D8">
        <w:rPr>
          <w:i/>
        </w:rPr>
        <w:t>aver</w:t>
      </w:r>
      <w:r w:rsidR="00EC21D8" w:rsidRPr="00EC21D8">
        <w:rPr>
          <w:i/>
        </w:rPr>
        <w:t>age annual production</w:t>
      </w:r>
      <w:r w:rsidR="00DD71BB">
        <w:t xml:space="preserve"> number over that period.</w:t>
      </w:r>
    </w:p>
    <w:p w:rsidR="00323D82" w:rsidRDefault="00323D82" w:rsidP="005D4CC5">
      <w:pPr>
        <w:pStyle w:val="ListParagraph"/>
        <w:spacing w:after="0"/>
        <w:ind w:left="0"/>
      </w:pPr>
    </w:p>
    <w:p w:rsidR="00CE6CED" w:rsidRDefault="00323D82" w:rsidP="005D4CC5">
      <w:pPr>
        <w:pStyle w:val="ListParagraph"/>
        <w:spacing w:after="0"/>
        <w:ind w:left="0"/>
        <w:rPr>
          <w:rFonts w:cs="Helvetica"/>
        </w:rPr>
      </w:pPr>
      <w:r>
        <w:t>Only one</w:t>
      </w:r>
      <w:r w:rsidR="00080494">
        <w:t xml:space="preserve"> </w:t>
      </w:r>
      <w:r>
        <w:t xml:space="preserve">institution (MIT) had an </w:t>
      </w:r>
      <w:r w:rsidR="00EC21D8">
        <w:t xml:space="preserve">annual </w:t>
      </w:r>
      <w:r>
        <w:t>average</w:t>
      </w:r>
      <w:r w:rsidR="00EC21D8">
        <w:t xml:space="preserve"> production </w:t>
      </w:r>
      <w:r>
        <w:t xml:space="preserve">of 15 or </w:t>
      </w:r>
      <w:r w:rsidR="00EC21D8">
        <w:t>more</w:t>
      </w:r>
      <w:r w:rsidR="00B40112">
        <w:t xml:space="preserve"> </w:t>
      </w:r>
      <w:r w:rsidR="00AE1EC6">
        <w:t>undergraduate</w:t>
      </w:r>
      <w:r w:rsidR="00981226">
        <w:t>s</w:t>
      </w:r>
      <w:r w:rsidR="00B40112">
        <w:t xml:space="preserve">.  </w:t>
      </w:r>
      <w:r>
        <w:t xml:space="preserve"> Three other institutions (Berkeley, CMU, and Cornell)</w:t>
      </w:r>
      <w:r w:rsidR="00EC21D8">
        <w:t xml:space="preserve"> had an average production of more than 10 but less than 15</w:t>
      </w:r>
      <w:r>
        <w:t>.  Together, these four</w:t>
      </w:r>
      <w:r w:rsidR="00080494">
        <w:t xml:space="preserve"> baccalaureate</w:t>
      </w:r>
      <w:r>
        <w:t xml:space="preserve"> institutions account</w:t>
      </w:r>
      <w:r w:rsidR="00DD71BB">
        <w:t>ed</w:t>
      </w:r>
      <w:r>
        <w:t xml:space="preserve"> for over 10% of all</w:t>
      </w:r>
      <w:r w:rsidR="00080494">
        <w:t xml:space="preserve"> </w:t>
      </w:r>
      <w:r w:rsidR="005817A1">
        <w:t>Ph.D.’s</w:t>
      </w:r>
      <w:r w:rsidR="003F5649">
        <w:t xml:space="preserve"> awarded to </w:t>
      </w:r>
      <w:r>
        <w:t>domestic</w:t>
      </w:r>
      <w:r w:rsidR="00EC21D8">
        <w:t xml:space="preserve"> </w:t>
      </w:r>
      <w:r w:rsidR="003F5649">
        <w:t>students</w:t>
      </w:r>
      <w:r>
        <w:t xml:space="preserve">.   The next 10% of all Ph.D.’s in that period came from only eight other baccalaureate institutions </w:t>
      </w:r>
      <w:r w:rsidRPr="00323D82">
        <w:t>(</w:t>
      </w:r>
      <w:r>
        <w:rPr>
          <w:rFonts w:cs="Helvetica"/>
        </w:rPr>
        <w:t xml:space="preserve">Harvard, Brigham Young, Stanford, </w:t>
      </w:r>
      <w:r w:rsidR="00B40112">
        <w:rPr>
          <w:rFonts w:cs="Helvetica"/>
        </w:rPr>
        <w:t xml:space="preserve">UT Austin, UIUC, Princeton, </w:t>
      </w:r>
      <w:r w:rsidR="00B40112" w:rsidRPr="00B40112">
        <w:rPr>
          <w:rFonts w:cs="Helvetica"/>
        </w:rPr>
        <w:t>University of Michigan</w:t>
      </w:r>
      <w:r w:rsidR="00B40112">
        <w:rPr>
          <w:rFonts w:cs="Helvetica"/>
        </w:rPr>
        <w:t>, and UCLA</w:t>
      </w:r>
      <w:r>
        <w:rPr>
          <w:rFonts w:cs="Helvetica"/>
        </w:rPr>
        <w:t xml:space="preserve">).  </w:t>
      </w:r>
      <w:r w:rsidR="00591917">
        <w:rPr>
          <w:rFonts w:cs="Helvetica"/>
        </w:rPr>
        <w:t xml:space="preserve">In total, </w:t>
      </w:r>
      <w:r w:rsidR="002D0CC1">
        <w:rPr>
          <w:rFonts w:cs="Helvetica"/>
        </w:rPr>
        <w:t xml:space="preserve">54 </w:t>
      </w:r>
      <w:r w:rsidR="00A3514F">
        <w:rPr>
          <w:rFonts w:cs="Helvetica"/>
        </w:rPr>
        <w:t xml:space="preserve">(6.7%) </w:t>
      </w:r>
      <w:r>
        <w:rPr>
          <w:rFonts w:cs="Helvetica"/>
        </w:rPr>
        <w:t xml:space="preserve">of the </w:t>
      </w:r>
      <w:r w:rsidR="00B40112">
        <w:rPr>
          <w:rFonts w:cs="Helvetica"/>
        </w:rPr>
        <w:t>801</w:t>
      </w:r>
      <w:r w:rsidR="00A3514F">
        <w:rPr>
          <w:rFonts w:cs="Helvetica"/>
        </w:rPr>
        <w:t xml:space="preserve"> baccalaureate institutions</w:t>
      </w:r>
      <w:r w:rsidR="002D0CC1">
        <w:rPr>
          <w:rFonts w:cs="Helvetica"/>
        </w:rPr>
        <w:t xml:space="preserve"> </w:t>
      </w:r>
      <w:r w:rsidR="00EC21D8">
        <w:rPr>
          <w:rFonts w:cs="Helvetica"/>
        </w:rPr>
        <w:t xml:space="preserve">accounted for </w:t>
      </w:r>
      <w:r w:rsidR="00A3514F">
        <w:rPr>
          <w:rFonts w:cs="Helvetica"/>
        </w:rPr>
        <w:t>50</w:t>
      </w:r>
      <w:r>
        <w:rPr>
          <w:rFonts w:cs="Helvetica"/>
        </w:rPr>
        <w:t>% of the</w:t>
      </w:r>
      <w:r w:rsidR="00EC21D8">
        <w:rPr>
          <w:rFonts w:cs="Helvetica"/>
        </w:rPr>
        <w:t xml:space="preserve"> </w:t>
      </w:r>
      <w:r w:rsidR="002D0CC1">
        <w:rPr>
          <w:rFonts w:cs="Helvetica"/>
        </w:rPr>
        <w:t>total Ph.D.</w:t>
      </w:r>
      <w:r w:rsidR="00EC21D8">
        <w:rPr>
          <w:rFonts w:cs="Helvetica"/>
        </w:rPr>
        <w:t xml:space="preserve"> production</w:t>
      </w:r>
      <w:r>
        <w:rPr>
          <w:rFonts w:cs="Helvetica"/>
        </w:rPr>
        <w:t>.</w:t>
      </w:r>
      <w:r w:rsidR="00981226">
        <w:rPr>
          <w:rFonts w:cs="Helvetica"/>
        </w:rPr>
        <w:t xml:space="preserve">  The</w:t>
      </w:r>
      <w:r w:rsidR="00A3514F">
        <w:rPr>
          <w:rFonts w:cs="Helvetica"/>
        </w:rPr>
        <w:t xml:space="preserve"> average</w:t>
      </w:r>
      <w:r w:rsidR="00981226">
        <w:rPr>
          <w:rFonts w:cs="Helvetica"/>
        </w:rPr>
        <w:t xml:space="preserve"> annual production numbers are summarized in Figure 7.</w:t>
      </w:r>
    </w:p>
    <w:p w:rsidR="00A3514F" w:rsidRPr="00B40112" w:rsidRDefault="00A3514F" w:rsidP="005D4CC5">
      <w:pPr>
        <w:pStyle w:val="ListParagraph"/>
        <w:spacing w:after="0"/>
        <w:ind w:left="0"/>
      </w:pPr>
    </w:p>
    <w:p w:rsidR="00CE6CED" w:rsidRDefault="00CE6CED" w:rsidP="00CE6CED">
      <w:pPr>
        <w:pStyle w:val="ListParagraph"/>
        <w:spacing w:after="0"/>
        <w:ind w:left="0"/>
        <w:jc w:val="center"/>
      </w:pPr>
      <w:r w:rsidRPr="00CE6CED">
        <w:rPr>
          <w:noProof/>
        </w:rPr>
        <w:drawing>
          <wp:inline distT="0" distB="0" distL="0" distR="0">
            <wp:extent cx="3677478" cy="214685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2359" w:rsidRDefault="00DA2359" w:rsidP="005D4CC5">
      <w:pPr>
        <w:pStyle w:val="ListParagraph"/>
        <w:spacing w:after="0"/>
        <w:ind w:left="0"/>
        <w:rPr>
          <w:b/>
        </w:rPr>
      </w:pPr>
    </w:p>
    <w:p w:rsidR="000827BF" w:rsidRDefault="00096BBF" w:rsidP="00AB2F73">
      <w:pPr>
        <w:pStyle w:val="ListParagraph"/>
        <w:spacing w:after="0"/>
        <w:ind w:left="0"/>
        <w:jc w:val="center"/>
      </w:pPr>
      <w:r w:rsidRPr="00AB2F73">
        <w:rPr>
          <w:b/>
        </w:rPr>
        <w:t>Figure 7</w:t>
      </w:r>
      <w:r w:rsidR="000827BF" w:rsidRPr="00AB2F73">
        <w:rPr>
          <w:b/>
        </w:rPr>
        <w:t>:</w:t>
      </w:r>
      <w:r w:rsidR="000827BF">
        <w:t xml:space="preserve">  The number of institutions </w:t>
      </w:r>
      <w:r w:rsidR="00786B62">
        <w:t xml:space="preserve">with annual average productions of </w:t>
      </w:r>
      <w:r w:rsidR="000827BF">
        <w:t>15 or</w:t>
      </w:r>
      <w:r w:rsidR="00786B62">
        <w:t xml:space="preserve"> more</w:t>
      </w:r>
      <w:r w:rsidR="000827BF">
        <w:t>, at least 10 but less than 15, at least 5 but less than 10, at least 2 but less than 5, at least 1 but less than 2.</w:t>
      </w:r>
    </w:p>
    <w:p w:rsidR="00DD71BB" w:rsidRDefault="00DD71BB" w:rsidP="00CE6CED">
      <w:pPr>
        <w:pStyle w:val="ListParagraph"/>
        <w:spacing w:after="0"/>
        <w:ind w:left="0"/>
      </w:pPr>
    </w:p>
    <w:p w:rsidR="00CE6CED" w:rsidRDefault="00DD71BB" w:rsidP="00CE6CED">
      <w:pPr>
        <w:pStyle w:val="ListParagraph"/>
        <w:spacing w:after="0"/>
        <w:ind w:left="0"/>
      </w:pPr>
      <w:r>
        <w:t>Highly selective four</w:t>
      </w:r>
      <w:r w:rsidR="00A3514F">
        <w:t>-year colleges are</w:t>
      </w:r>
      <w:r w:rsidR="00981226">
        <w:t xml:space="preserve"> </w:t>
      </w:r>
      <w:r w:rsidR="00CE6CED">
        <w:t xml:space="preserve">an important source of the domestic Ph.D. production.  Since most of these schools have very small enrollments, we examined them collectively.  The </w:t>
      </w:r>
      <w:r w:rsidR="001B7EAA">
        <w:t xml:space="preserve">top 25 </w:t>
      </w:r>
      <w:r w:rsidR="00CE6CED">
        <w:t>liberal arts colleges (using the U.S.</w:t>
      </w:r>
      <w:r w:rsidR="005817A1">
        <w:t xml:space="preserve"> News and World Reports ranking) </w:t>
      </w:r>
      <w:r w:rsidR="001B7EAA">
        <w:t xml:space="preserve">collectively </w:t>
      </w:r>
      <w:r w:rsidR="00E77020">
        <w:t xml:space="preserve">enroll </w:t>
      </w:r>
      <w:r w:rsidR="001B7EAA">
        <w:t>slightly less than 50</w:t>
      </w:r>
      <w:r w:rsidR="00CE6CED">
        <w:t>,000 students per year in all majors and were the origins o</w:t>
      </w:r>
      <w:r w:rsidR="00E77020">
        <w:t>f 190 Ph.D. degrees</w:t>
      </w:r>
      <w:r w:rsidR="001B7EAA">
        <w:t xml:space="preserve"> between 2000 and 2010</w:t>
      </w:r>
      <w:r w:rsidR="00CE6CED">
        <w:t xml:space="preserve">, collectively ranking </w:t>
      </w:r>
      <w:r w:rsidR="001B7EAA">
        <w:t>ahead of any single research university.</w:t>
      </w:r>
    </w:p>
    <w:p w:rsidR="00CE6CED" w:rsidRDefault="00CE6CED" w:rsidP="00CE6CED">
      <w:pPr>
        <w:pStyle w:val="ListParagraph"/>
        <w:spacing w:after="0"/>
        <w:ind w:left="0"/>
      </w:pPr>
    </w:p>
    <w:p w:rsidR="00CE6CED" w:rsidRDefault="00CE6CED" w:rsidP="00CE6CED">
      <w:pPr>
        <w:pStyle w:val="ListParagraph"/>
        <w:spacing w:after="0"/>
        <w:ind w:left="0"/>
      </w:pPr>
      <w:r>
        <w:t>In spite of the fact that a small number of baccalaureate institutions account for a large fraction of the domestic Ph.D.’s, nearly 18% of all Ph.D.’s came from baccalaureate with an average annual production of less than 2.</w:t>
      </w:r>
    </w:p>
    <w:p w:rsidR="00D34A96" w:rsidRPr="00D34A96" w:rsidRDefault="00D34A96" w:rsidP="000827BF">
      <w:pPr>
        <w:spacing w:after="0"/>
        <w:rPr>
          <w:rFonts w:cstheme="minorHAnsi"/>
        </w:rPr>
      </w:pPr>
    </w:p>
    <w:p w:rsidR="00D34A96" w:rsidRPr="00681D5B" w:rsidRDefault="00681D5B" w:rsidP="00D34A96">
      <w:pPr>
        <w:spacing w:after="0"/>
        <w:rPr>
          <w:b/>
          <w:sz w:val="24"/>
        </w:rPr>
      </w:pPr>
      <w:r w:rsidRPr="00681D5B">
        <w:rPr>
          <w:b/>
          <w:sz w:val="24"/>
        </w:rPr>
        <w:t xml:space="preserve">4.2 </w:t>
      </w:r>
      <w:r w:rsidR="009D6292" w:rsidRPr="00681D5B">
        <w:rPr>
          <w:b/>
          <w:sz w:val="24"/>
        </w:rPr>
        <w:t>Baccalaureate O</w:t>
      </w:r>
      <w:r w:rsidR="001462AA" w:rsidRPr="00681D5B">
        <w:rPr>
          <w:b/>
          <w:sz w:val="24"/>
        </w:rPr>
        <w:t>rigin</w:t>
      </w:r>
      <w:r w:rsidR="009D6292" w:rsidRPr="00681D5B">
        <w:rPr>
          <w:b/>
          <w:sz w:val="24"/>
        </w:rPr>
        <w:t>s</w:t>
      </w:r>
      <w:r w:rsidR="001462AA" w:rsidRPr="00681D5B">
        <w:rPr>
          <w:b/>
          <w:sz w:val="24"/>
        </w:rPr>
        <w:t xml:space="preserve"> </w:t>
      </w:r>
      <w:r w:rsidR="009D6292" w:rsidRPr="00681D5B">
        <w:rPr>
          <w:b/>
          <w:sz w:val="24"/>
        </w:rPr>
        <w:t>of N</w:t>
      </w:r>
      <w:r w:rsidRPr="00681D5B">
        <w:rPr>
          <w:b/>
          <w:sz w:val="24"/>
        </w:rPr>
        <w:t>SF Graduate Research Fellowships</w:t>
      </w:r>
      <w:r w:rsidR="00812088">
        <w:rPr>
          <w:b/>
          <w:sz w:val="24"/>
        </w:rPr>
        <w:t xml:space="preserve"> Awardees/Honorable Mention</w:t>
      </w:r>
      <w:r w:rsidR="00FD595A">
        <w:rPr>
          <w:b/>
          <w:sz w:val="24"/>
        </w:rPr>
        <w:t>s</w:t>
      </w:r>
    </w:p>
    <w:p w:rsidR="009D6292" w:rsidRDefault="009D6292" w:rsidP="00D34A96">
      <w:pPr>
        <w:spacing w:after="0"/>
        <w:rPr>
          <w:b/>
        </w:rPr>
      </w:pPr>
    </w:p>
    <w:p w:rsidR="00BE49AD" w:rsidRDefault="00D34A96" w:rsidP="00D34A96">
      <w:pPr>
        <w:autoSpaceDE w:val="0"/>
        <w:autoSpaceDN w:val="0"/>
        <w:adjustRightInd w:val="0"/>
        <w:spacing w:after="0"/>
        <w:rPr>
          <w:rFonts w:cstheme="minorHAnsi"/>
        </w:rPr>
      </w:pPr>
      <w:r>
        <w:rPr>
          <w:rFonts w:cstheme="minorHAnsi"/>
        </w:rPr>
        <w:t xml:space="preserve">NSF Graduate Research Fellowship (GRF) </w:t>
      </w:r>
      <w:r w:rsidRPr="00D34A96">
        <w:rPr>
          <w:rFonts w:cstheme="minorHAnsi"/>
        </w:rPr>
        <w:t>awardees provide a proxy</w:t>
      </w:r>
      <w:r w:rsidR="002E4820">
        <w:rPr>
          <w:rFonts w:cstheme="minorHAnsi"/>
        </w:rPr>
        <w:t xml:space="preserve"> for “top” </w:t>
      </w:r>
      <w:r w:rsidR="005C34DB">
        <w:rPr>
          <w:rFonts w:cstheme="minorHAnsi"/>
        </w:rPr>
        <w:t xml:space="preserve">domestic </w:t>
      </w:r>
      <w:r w:rsidRPr="00D34A96">
        <w:rPr>
          <w:rFonts w:cstheme="minorHAnsi"/>
        </w:rPr>
        <w:t xml:space="preserve">graduate students. </w:t>
      </w:r>
      <w:r w:rsidR="001E4459">
        <w:rPr>
          <w:rFonts w:cstheme="minorHAnsi"/>
        </w:rPr>
        <w:t xml:space="preserve"> We note that this is an imperfect measure, because it is based on </w:t>
      </w:r>
      <w:r w:rsidR="000A6F9F">
        <w:rPr>
          <w:rFonts w:cstheme="minorHAnsi"/>
        </w:rPr>
        <w:t xml:space="preserve">NSF’s </w:t>
      </w:r>
      <w:r w:rsidR="005C34DB">
        <w:rPr>
          <w:rFonts w:cstheme="minorHAnsi"/>
        </w:rPr>
        <w:t xml:space="preserve">eligibility criteria and </w:t>
      </w:r>
      <w:r w:rsidR="008A5699">
        <w:rPr>
          <w:rFonts w:cstheme="minorHAnsi"/>
        </w:rPr>
        <w:t xml:space="preserve">specific </w:t>
      </w:r>
      <w:r w:rsidR="005C34DB">
        <w:rPr>
          <w:rFonts w:cstheme="minorHAnsi"/>
        </w:rPr>
        <w:t xml:space="preserve">merit review criteria (see </w:t>
      </w:r>
      <w:hyperlink r:id="rId22" w:history="1">
        <w:r w:rsidR="005C34DB" w:rsidRPr="00D917B6">
          <w:rPr>
            <w:rStyle w:val="Hyperlink"/>
            <w:rFonts w:cstheme="minorHAnsi"/>
          </w:rPr>
          <w:t>http://www.nsf.gov/pubs/2012/nsf12599/nsf12599.htm</w:t>
        </w:r>
      </w:hyperlink>
      <w:r w:rsidR="005C34DB">
        <w:rPr>
          <w:rFonts w:cstheme="minorHAnsi"/>
        </w:rPr>
        <w:t xml:space="preserve">).  </w:t>
      </w:r>
      <w:r>
        <w:rPr>
          <w:rFonts w:cstheme="minorHAnsi"/>
        </w:rPr>
        <w:t xml:space="preserve">NSF FastLane provides data on the </w:t>
      </w:r>
      <w:r w:rsidR="002E4820">
        <w:rPr>
          <w:rFonts w:cstheme="minorHAnsi"/>
        </w:rPr>
        <w:t xml:space="preserve">baccalaureate </w:t>
      </w:r>
      <w:r>
        <w:rPr>
          <w:rFonts w:cstheme="minorHAnsi"/>
        </w:rPr>
        <w:t>institution</w:t>
      </w:r>
      <w:r w:rsidR="002E4820">
        <w:rPr>
          <w:rFonts w:cstheme="minorHAnsi"/>
        </w:rPr>
        <w:t>s for</w:t>
      </w:r>
      <w:r>
        <w:rPr>
          <w:rFonts w:cstheme="minorHAnsi"/>
        </w:rPr>
        <w:t xml:space="preserve"> students receiving awards and honorabl</w:t>
      </w:r>
      <w:r w:rsidR="005C34DB">
        <w:rPr>
          <w:rFonts w:cstheme="minorHAnsi"/>
        </w:rPr>
        <w:t>e mentions and this section examines baccalaureat</w:t>
      </w:r>
      <w:r w:rsidR="00185187">
        <w:rPr>
          <w:rFonts w:cstheme="minorHAnsi"/>
        </w:rPr>
        <w:t>e institutions based on the</w:t>
      </w:r>
      <w:r w:rsidR="005C34DB">
        <w:rPr>
          <w:rFonts w:cstheme="minorHAnsi"/>
        </w:rPr>
        <w:t xml:space="preserve"> Carnegie classifications.  We </w:t>
      </w:r>
      <w:r w:rsidR="008A5699">
        <w:rPr>
          <w:rFonts w:cstheme="minorHAnsi"/>
        </w:rPr>
        <w:t>examine only the institution of baccalaureate origin and not the</w:t>
      </w:r>
      <w:r w:rsidR="00DC70CB">
        <w:rPr>
          <w:rFonts w:cstheme="minorHAnsi"/>
        </w:rPr>
        <w:t xml:space="preserve"> institution from which a student ultimately receives the Ph</w:t>
      </w:r>
      <w:r w:rsidR="008A5699">
        <w:rPr>
          <w:rFonts w:cstheme="minorHAnsi"/>
        </w:rPr>
        <w:t>.</w:t>
      </w:r>
      <w:r w:rsidR="00DC70CB">
        <w:rPr>
          <w:rFonts w:cstheme="minorHAnsi"/>
        </w:rPr>
        <w:t>D.</w:t>
      </w:r>
    </w:p>
    <w:p w:rsidR="001E1999" w:rsidRDefault="001E1999" w:rsidP="00D34A96">
      <w:pPr>
        <w:autoSpaceDE w:val="0"/>
        <w:autoSpaceDN w:val="0"/>
        <w:adjustRightInd w:val="0"/>
        <w:spacing w:after="0"/>
        <w:rPr>
          <w:rFonts w:cstheme="minorHAnsi"/>
        </w:rPr>
      </w:pPr>
    </w:p>
    <w:p w:rsidR="003C589C" w:rsidRDefault="00DC70CB" w:rsidP="00BE49AD">
      <w:pPr>
        <w:autoSpaceDE w:val="0"/>
        <w:autoSpaceDN w:val="0"/>
        <w:adjustRightInd w:val="0"/>
        <w:spacing w:after="0"/>
        <w:rPr>
          <w:rFonts w:cstheme="minorHAnsi"/>
        </w:rPr>
      </w:pPr>
      <w:r>
        <w:rPr>
          <w:rFonts w:cstheme="minorHAnsi"/>
        </w:rPr>
        <w:t>Since 2010</w:t>
      </w:r>
      <w:r w:rsidR="00BE49AD">
        <w:rPr>
          <w:rFonts w:cstheme="minorHAnsi"/>
        </w:rPr>
        <w:t xml:space="preserve">, approximately </w:t>
      </w:r>
      <w:r w:rsidR="003C589C" w:rsidRPr="00BE49AD">
        <w:rPr>
          <w:rFonts w:cstheme="minorHAnsi"/>
        </w:rPr>
        <w:t>2000</w:t>
      </w:r>
      <w:r w:rsidR="00BE49AD">
        <w:rPr>
          <w:rFonts w:cstheme="minorHAnsi"/>
        </w:rPr>
        <w:t xml:space="preserve"> GRF</w:t>
      </w:r>
      <w:r w:rsidR="003C589C" w:rsidRPr="00BE49AD">
        <w:rPr>
          <w:rFonts w:cstheme="minorHAnsi"/>
        </w:rPr>
        <w:t xml:space="preserve"> awards</w:t>
      </w:r>
      <w:r w:rsidR="00BE49AD">
        <w:rPr>
          <w:rFonts w:cstheme="minorHAnsi"/>
        </w:rPr>
        <w:t xml:space="preserve"> were</w:t>
      </w:r>
      <w:r w:rsidR="003C589C" w:rsidRPr="00BE49AD">
        <w:rPr>
          <w:rFonts w:cstheme="minorHAnsi"/>
        </w:rPr>
        <w:t xml:space="preserve"> </w:t>
      </w:r>
      <w:r>
        <w:rPr>
          <w:rFonts w:cstheme="minorHAnsi"/>
        </w:rPr>
        <w:t xml:space="preserve">made per year across </w:t>
      </w:r>
      <w:r w:rsidR="00BE49AD">
        <w:rPr>
          <w:rFonts w:cstheme="minorHAnsi"/>
        </w:rPr>
        <w:t>all eligible disciplines.  The number of awards allocated to a discipline is</w:t>
      </w:r>
      <w:r w:rsidR="003C589C" w:rsidRPr="00BE49AD">
        <w:rPr>
          <w:rFonts w:cstheme="minorHAnsi"/>
        </w:rPr>
        <w:t xml:space="preserve"> </w:t>
      </w:r>
      <w:r w:rsidR="0099010B">
        <w:rPr>
          <w:rFonts w:cstheme="minorHAnsi"/>
        </w:rPr>
        <w:t xml:space="preserve">generally </w:t>
      </w:r>
      <w:r w:rsidR="003C589C" w:rsidRPr="00BE49AD">
        <w:rPr>
          <w:rFonts w:cstheme="minorHAnsi"/>
        </w:rPr>
        <w:t xml:space="preserve">determined by </w:t>
      </w:r>
      <w:r w:rsidR="00BE49AD">
        <w:rPr>
          <w:rFonts w:cstheme="minorHAnsi"/>
        </w:rPr>
        <w:t>the</w:t>
      </w:r>
      <w:r w:rsidR="00634E97">
        <w:rPr>
          <w:rFonts w:cstheme="minorHAnsi"/>
        </w:rPr>
        <w:t xml:space="preserve"> total</w:t>
      </w:r>
      <w:r w:rsidR="00BE49AD">
        <w:rPr>
          <w:rFonts w:cstheme="minorHAnsi"/>
        </w:rPr>
        <w:t xml:space="preserve"> </w:t>
      </w:r>
      <w:r w:rsidR="003C589C" w:rsidRPr="00BE49AD">
        <w:rPr>
          <w:rFonts w:cstheme="minorHAnsi"/>
        </w:rPr>
        <w:t>number of applications</w:t>
      </w:r>
      <w:r w:rsidR="006373B9">
        <w:rPr>
          <w:rFonts w:cstheme="minorHAnsi"/>
        </w:rPr>
        <w:t xml:space="preserve"> from</w:t>
      </w:r>
      <w:r w:rsidR="00BE49AD">
        <w:rPr>
          <w:rFonts w:cstheme="minorHAnsi"/>
        </w:rPr>
        <w:t xml:space="preserve"> that discipline</w:t>
      </w:r>
      <w:r w:rsidR="003C589C" w:rsidRPr="00BE49AD">
        <w:rPr>
          <w:rFonts w:cstheme="minorHAnsi"/>
        </w:rPr>
        <w:t xml:space="preserve">. </w:t>
      </w:r>
      <w:r w:rsidR="00BE49AD">
        <w:rPr>
          <w:rFonts w:cstheme="minorHAnsi"/>
        </w:rPr>
        <w:t xml:space="preserve"> </w:t>
      </w:r>
      <w:r w:rsidR="003C589C" w:rsidRPr="00BE49AD">
        <w:rPr>
          <w:rFonts w:cstheme="minorHAnsi"/>
        </w:rPr>
        <w:t>For</w:t>
      </w:r>
      <w:r w:rsidR="00873DA1">
        <w:rPr>
          <w:rFonts w:cstheme="minorHAnsi"/>
        </w:rPr>
        <w:t xml:space="preserve"> NSF’s </w:t>
      </w:r>
      <w:r w:rsidR="00873DA1">
        <w:t xml:space="preserve">Directorate for Computer and Information Science and Engineering (CISE), </w:t>
      </w:r>
      <w:r w:rsidR="00BE49AD">
        <w:rPr>
          <w:rFonts w:cstheme="minorHAnsi"/>
        </w:rPr>
        <w:t xml:space="preserve">the </w:t>
      </w:r>
      <w:r w:rsidR="003C589C" w:rsidRPr="00BE49AD">
        <w:rPr>
          <w:rFonts w:cstheme="minorHAnsi"/>
        </w:rPr>
        <w:t>number of</w:t>
      </w:r>
      <w:r w:rsidR="00873DA1">
        <w:rPr>
          <w:rFonts w:cstheme="minorHAnsi"/>
        </w:rPr>
        <w:t xml:space="preserve"> GRF</w:t>
      </w:r>
      <w:r w:rsidR="003C589C" w:rsidRPr="00BE49AD">
        <w:rPr>
          <w:rFonts w:cstheme="minorHAnsi"/>
        </w:rPr>
        <w:t xml:space="preserve"> applications has increased from about 450 </w:t>
      </w:r>
      <w:r w:rsidR="00873DA1">
        <w:rPr>
          <w:rFonts w:cstheme="minorHAnsi"/>
        </w:rPr>
        <w:t xml:space="preserve">in 2006 </w:t>
      </w:r>
      <w:r w:rsidR="003C589C" w:rsidRPr="00BE49AD">
        <w:rPr>
          <w:rFonts w:cstheme="minorHAnsi"/>
        </w:rPr>
        <w:t>to 650</w:t>
      </w:r>
      <w:r w:rsidR="00873DA1">
        <w:rPr>
          <w:rFonts w:cstheme="minorHAnsi"/>
        </w:rPr>
        <w:t xml:space="preserve"> in 2011</w:t>
      </w:r>
      <w:r w:rsidR="00BE49AD">
        <w:rPr>
          <w:rFonts w:cstheme="minorHAnsi"/>
        </w:rPr>
        <w:t xml:space="preserve"> and the award</w:t>
      </w:r>
      <w:r w:rsidR="003C589C" w:rsidRPr="00BE49AD">
        <w:rPr>
          <w:rFonts w:cstheme="minorHAnsi"/>
        </w:rPr>
        <w:t xml:space="preserve"> rate</w:t>
      </w:r>
      <w:r w:rsidR="00BE49AD">
        <w:rPr>
          <w:rFonts w:cstheme="minorHAnsi"/>
        </w:rPr>
        <w:t xml:space="preserve"> has</w:t>
      </w:r>
      <w:r w:rsidR="006373B9">
        <w:rPr>
          <w:rFonts w:cstheme="minorHAnsi"/>
        </w:rPr>
        <w:t xml:space="preserve"> increased from 12 to 17%.  When honorable mentions are included, the </w:t>
      </w:r>
      <w:r w:rsidR="001746E8">
        <w:rPr>
          <w:rFonts w:cstheme="minorHAnsi"/>
        </w:rPr>
        <w:t>success rate increases to approximately 30%.</w:t>
      </w:r>
    </w:p>
    <w:p w:rsidR="00174F61" w:rsidRDefault="002B2F44" w:rsidP="002B2F44">
      <w:pPr>
        <w:autoSpaceDE w:val="0"/>
        <w:autoSpaceDN w:val="0"/>
        <w:adjustRightInd w:val="0"/>
        <w:spacing w:after="0"/>
        <w:jc w:val="center"/>
        <w:rPr>
          <w:rFonts w:cstheme="minorHAnsi"/>
        </w:rPr>
      </w:pPr>
      <w:r w:rsidRPr="002B2F44">
        <w:rPr>
          <w:rFonts w:cstheme="minorHAnsi"/>
          <w:noProof/>
        </w:rPr>
        <w:drawing>
          <wp:inline distT="0" distB="0" distL="0" distR="0">
            <wp:extent cx="5118653" cy="3101008"/>
            <wp:effectExtent l="0" t="0" r="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73DA1" w:rsidRPr="00873DA1" w:rsidRDefault="00873DA1" w:rsidP="00873DA1">
      <w:pPr>
        <w:autoSpaceDE w:val="0"/>
        <w:autoSpaceDN w:val="0"/>
        <w:adjustRightInd w:val="0"/>
        <w:spacing w:after="0"/>
        <w:jc w:val="center"/>
        <w:rPr>
          <w:rFonts w:cstheme="minorHAnsi"/>
        </w:rPr>
      </w:pPr>
      <w:r w:rsidRPr="00873DA1">
        <w:rPr>
          <w:rFonts w:cstheme="minorHAnsi"/>
          <w:b/>
        </w:rPr>
        <w:t>Figure 8:</w:t>
      </w:r>
      <w:r>
        <w:rPr>
          <w:rFonts w:cstheme="minorHAnsi"/>
          <w:b/>
        </w:rPr>
        <w:t xml:space="preserve"> </w:t>
      </w:r>
      <w:r w:rsidRPr="00873DA1">
        <w:rPr>
          <w:rFonts w:cstheme="minorHAnsi"/>
        </w:rPr>
        <w:t xml:space="preserve">CISE GRF awards by type of </w:t>
      </w:r>
      <w:r w:rsidR="00FD595A">
        <w:rPr>
          <w:rFonts w:cstheme="minorHAnsi"/>
        </w:rPr>
        <w:t>baccalaureate institutions</w:t>
      </w:r>
    </w:p>
    <w:p w:rsidR="00873DA1" w:rsidRDefault="00873DA1" w:rsidP="00BE49AD">
      <w:pPr>
        <w:autoSpaceDE w:val="0"/>
        <w:autoSpaceDN w:val="0"/>
        <w:adjustRightInd w:val="0"/>
        <w:spacing w:after="0"/>
        <w:rPr>
          <w:rFonts w:cstheme="minorHAnsi"/>
        </w:rPr>
      </w:pPr>
    </w:p>
    <w:p w:rsidR="00D26F42" w:rsidRDefault="00873DA1" w:rsidP="00BE49AD">
      <w:pPr>
        <w:autoSpaceDE w:val="0"/>
        <w:autoSpaceDN w:val="0"/>
        <w:adjustRightInd w:val="0"/>
        <w:spacing w:after="0"/>
        <w:rPr>
          <w:rFonts w:cstheme="minorHAnsi"/>
        </w:rPr>
      </w:pPr>
      <w:r>
        <w:rPr>
          <w:rFonts w:cstheme="minorHAnsi"/>
        </w:rPr>
        <w:t>Figure 8 shows the</w:t>
      </w:r>
      <w:r w:rsidRPr="00873DA1">
        <w:rPr>
          <w:rFonts w:cstheme="minorHAnsi"/>
        </w:rPr>
        <w:t xml:space="preserve"> </w:t>
      </w:r>
      <w:r w:rsidR="00DC70CB">
        <w:rPr>
          <w:rFonts w:cstheme="minorHAnsi"/>
        </w:rPr>
        <w:t>baccalaureate institution</w:t>
      </w:r>
      <w:r>
        <w:rPr>
          <w:rFonts w:cstheme="minorHAnsi"/>
        </w:rPr>
        <w:t xml:space="preserve"> types for CISE awards. </w:t>
      </w:r>
      <w:r w:rsidR="00422355">
        <w:rPr>
          <w:rFonts w:cstheme="minorHAnsi"/>
        </w:rPr>
        <w:t xml:space="preserve"> Note that only domestic students are eligible for NSF GRF awards, but some domestic awardees attended foreign baccalaureate institutions.  </w:t>
      </w:r>
      <w:r w:rsidR="00174F61">
        <w:rPr>
          <w:rFonts w:cstheme="minorHAnsi"/>
        </w:rPr>
        <w:t>Approx</w:t>
      </w:r>
      <w:r w:rsidR="00DC70CB">
        <w:rPr>
          <w:rFonts w:cstheme="minorHAnsi"/>
        </w:rPr>
        <w:t>imately 80-90% of all awards were</w:t>
      </w:r>
      <w:r w:rsidR="00174F61">
        <w:rPr>
          <w:rFonts w:cstheme="minorHAnsi"/>
        </w:rPr>
        <w:t xml:space="preserve"> </w:t>
      </w:r>
      <w:r w:rsidR="0047354A">
        <w:rPr>
          <w:rFonts w:cstheme="minorHAnsi"/>
        </w:rPr>
        <w:t xml:space="preserve">made </w:t>
      </w:r>
      <w:r w:rsidR="00174F61">
        <w:rPr>
          <w:rFonts w:cstheme="minorHAnsi"/>
        </w:rPr>
        <w:t xml:space="preserve">to students who completed their undergraduate studies at research universities, which is somewhat higher than their representation (76%) in graduate programs overall.  </w:t>
      </w:r>
      <w:r w:rsidR="00D26F42">
        <w:rPr>
          <w:rFonts w:cstheme="minorHAnsi"/>
        </w:rPr>
        <w:t xml:space="preserve">Over the last ten years, students from </w:t>
      </w:r>
      <w:r w:rsidR="00422355">
        <w:rPr>
          <w:rFonts w:cstheme="minorHAnsi"/>
        </w:rPr>
        <w:t>four</w:t>
      </w:r>
      <w:r w:rsidR="00174F61">
        <w:rPr>
          <w:rFonts w:cstheme="minorHAnsi"/>
        </w:rPr>
        <w:t xml:space="preserve">-year colleges </w:t>
      </w:r>
      <w:r w:rsidR="00D26F42">
        <w:rPr>
          <w:rFonts w:cstheme="minorHAnsi"/>
        </w:rPr>
        <w:t xml:space="preserve">received 10% of the GRF fellowships (they represent about 11% of students receiving a Ph.D.).  Students from </w:t>
      </w:r>
      <w:r w:rsidR="00422355">
        <w:rPr>
          <w:rFonts w:cstheme="minorHAnsi"/>
        </w:rPr>
        <w:t>m</w:t>
      </w:r>
      <w:r w:rsidR="00174F61">
        <w:rPr>
          <w:rFonts w:cstheme="minorHAnsi"/>
        </w:rPr>
        <w:t xml:space="preserve">aster’s institutions </w:t>
      </w:r>
      <w:r w:rsidR="00D26F42">
        <w:rPr>
          <w:rFonts w:cstheme="minorHAnsi"/>
        </w:rPr>
        <w:t xml:space="preserve">received fewer than 6% </w:t>
      </w:r>
      <w:r w:rsidR="00A3465C">
        <w:rPr>
          <w:rFonts w:cstheme="minorHAnsi"/>
        </w:rPr>
        <w:t xml:space="preserve">even though they </w:t>
      </w:r>
      <w:r w:rsidR="00D26F42">
        <w:rPr>
          <w:rFonts w:cstheme="minorHAnsi"/>
        </w:rPr>
        <w:t>represent about 15% of the Ph.D.</w:t>
      </w:r>
      <w:r w:rsidR="002E2C52">
        <w:rPr>
          <w:rFonts w:cstheme="minorHAnsi"/>
        </w:rPr>
        <w:t>’</w:t>
      </w:r>
      <w:r w:rsidR="00D26F42">
        <w:rPr>
          <w:rFonts w:cstheme="minorHAnsi"/>
        </w:rPr>
        <w:t>s and 4</w:t>
      </w:r>
      <w:r w:rsidR="00A3465C">
        <w:rPr>
          <w:rFonts w:cstheme="minorHAnsi"/>
        </w:rPr>
        <w:t>0% of all undergraduate degrees</w:t>
      </w:r>
      <w:r w:rsidR="00D26F42">
        <w:rPr>
          <w:rFonts w:cstheme="minorHAnsi"/>
        </w:rPr>
        <w:t xml:space="preserve">. </w:t>
      </w:r>
    </w:p>
    <w:p w:rsidR="00BE49AD" w:rsidRDefault="00BE49AD" w:rsidP="00BE49AD">
      <w:pPr>
        <w:autoSpaceDE w:val="0"/>
        <w:autoSpaceDN w:val="0"/>
        <w:adjustRightInd w:val="0"/>
        <w:spacing w:after="0"/>
        <w:rPr>
          <w:rFonts w:cstheme="minorHAnsi"/>
        </w:rPr>
      </w:pPr>
    </w:p>
    <w:p w:rsidR="004059E2" w:rsidRDefault="00190E5C" w:rsidP="009B4573">
      <w:pPr>
        <w:autoSpaceDE w:val="0"/>
        <w:autoSpaceDN w:val="0"/>
        <w:adjustRightInd w:val="0"/>
        <w:spacing w:after="0"/>
        <w:rPr>
          <w:rFonts w:cstheme="minorHAnsi"/>
        </w:rPr>
      </w:pPr>
      <w:r>
        <w:rPr>
          <w:rFonts w:cstheme="minorHAnsi"/>
        </w:rPr>
        <w:t>From 2003</w:t>
      </w:r>
      <w:r w:rsidR="004059E2">
        <w:rPr>
          <w:rFonts w:cstheme="minorHAnsi"/>
        </w:rPr>
        <w:t xml:space="preserve">-2012, </w:t>
      </w:r>
      <w:r>
        <w:rPr>
          <w:rFonts w:cstheme="minorHAnsi"/>
        </w:rPr>
        <w:t>805</w:t>
      </w:r>
      <w:r w:rsidR="004059E2">
        <w:rPr>
          <w:rFonts w:cstheme="minorHAnsi"/>
        </w:rPr>
        <w:t xml:space="preserve"> NSF GRFs</w:t>
      </w:r>
      <w:r>
        <w:rPr>
          <w:rFonts w:cstheme="minorHAnsi"/>
        </w:rPr>
        <w:t xml:space="preserve"> were awarded to students from 222</w:t>
      </w:r>
      <w:r w:rsidR="004059E2">
        <w:rPr>
          <w:rFonts w:cstheme="minorHAnsi"/>
        </w:rPr>
        <w:t xml:space="preserve"> baccalaureate</w:t>
      </w:r>
      <w:r>
        <w:rPr>
          <w:rFonts w:cstheme="minorHAnsi"/>
        </w:rPr>
        <w:t xml:space="preserve"> institutions.  Approximately 51</w:t>
      </w:r>
      <w:r w:rsidR="004059E2">
        <w:rPr>
          <w:rFonts w:cstheme="minorHAnsi"/>
        </w:rPr>
        <w:t>% of the</w:t>
      </w:r>
      <w:r>
        <w:rPr>
          <w:rFonts w:cstheme="minorHAnsi"/>
        </w:rPr>
        <w:t xml:space="preserve"> awards </w:t>
      </w:r>
      <w:r w:rsidR="006A4C52">
        <w:rPr>
          <w:rFonts w:cstheme="minorHAnsi"/>
        </w:rPr>
        <w:t xml:space="preserve">and </w:t>
      </w:r>
      <w:r w:rsidR="009B4573">
        <w:rPr>
          <w:rFonts w:cstheme="minorHAnsi"/>
        </w:rPr>
        <w:t xml:space="preserve">51% of the honorable mentions </w:t>
      </w:r>
      <w:r>
        <w:rPr>
          <w:rFonts w:cstheme="minorHAnsi"/>
        </w:rPr>
        <w:t>went to students from 22</w:t>
      </w:r>
      <w:r w:rsidR="004059E2">
        <w:rPr>
          <w:rFonts w:cstheme="minorHAnsi"/>
        </w:rPr>
        <w:t xml:space="preserve"> baccalaureate institutions shown in Table 1.</w:t>
      </w:r>
      <w:r w:rsidR="002E2C52">
        <w:rPr>
          <w:rFonts w:cstheme="minorHAnsi"/>
        </w:rPr>
        <w:t xml:space="preserve">  One four</w:t>
      </w:r>
      <w:r w:rsidR="009B4573">
        <w:rPr>
          <w:rFonts w:cstheme="minorHAnsi"/>
        </w:rPr>
        <w:t>-year institution, Harvey Mudd College, is represented in the top 22 institutions.</w:t>
      </w:r>
    </w:p>
    <w:p w:rsidR="001E4459" w:rsidRDefault="001E4459" w:rsidP="00BE49AD">
      <w:pPr>
        <w:autoSpaceDE w:val="0"/>
        <w:autoSpaceDN w:val="0"/>
        <w:adjustRightInd w:val="0"/>
        <w:spacing w:after="0"/>
        <w:rPr>
          <w:rFonts w:cstheme="minorHAnsi"/>
        </w:rPr>
      </w:pPr>
    </w:p>
    <w:tbl>
      <w:tblPr>
        <w:tblW w:w="8544" w:type="dxa"/>
        <w:jc w:val="center"/>
        <w:tblLook w:val="04A0"/>
      </w:tblPr>
      <w:tblGrid>
        <w:gridCol w:w="4008"/>
        <w:gridCol w:w="2268"/>
        <w:gridCol w:w="2268"/>
      </w:tblGrid>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4F81BD" w:fill="4F81BD"/>
            <w:noWrap/>
            <w:vAlign w:val="bottom"/>
            <w:hideMark/>
          </w:tcPr>
          <w:p w:rsidR="00873DA1" w:rsidRPr="000A6F9F" w:rsidRDefault="00873DA1" w:rsidP="00873DA1">
            <w:pPr>
              <w:spacing w:after="0" w:line="240" w:lineRule="auto"/>
              <w:rPr>
                <w:rFonts w:eastAsia="Times New Roman" w:cs="Times New Roman"/>
                <w:b/>
                <w:bCs/>
                <w:color w:val="FFFFFF"/>
                <w:sz w:val="18"/>
                <w:szCs w:val="16"/>
              </w:rPr>
            </w:pPr>
            <w:r w:rsidRPr="000A6F9F">
              <w:rPr>
                <w:rFonts w:eastAsia="Times New Roman" w:cs="Times New Roman"/>
                <w:b/>
                <w:bCs/>
                <w:color w:val="FFFFFF"/>
                <w:sz w:val="18"/>
                <w:szCs w:val="16"/>
              </w:rPr>
              <w:t>Institution</w:t>
            </w:r>
          </w:p>
        </w:tc>
        <w:tc>
          <w:tcPr>
            <w:tcW w:w="2268" w:type="dxa"/>
            <w:tcBorders>
              <w:top w:val="single" w:sz="4" w:space="0" w:color="4F81BD"/>
              <w:left w:val="nil"/>
              <w:bottom w:val="nil"/>
              <w:right w:val="nil"/>
            </w:tcBorders>
            <w:shd w:val="clear" w:color="4F81BD" w:fill="4F81BD"/>
            <w:noWrap/>
            <w:vAlign w:val="bottom"/>
            <w:hideMark/>
          </w:tcPr>
          <w:p w:rsidR="00873DA1" w:rsidRPr="000A6F9F" w:rsidRDefault="00873DA1" w:rsidP="00873DA1">
            <w:pPr>
              <w:spacing w:after="0" w:line="240" w:lineRule="auto"/>
              <w:jc w:val="center"/>
              <w:rPr>
                <w:rFonts w:eastAsia="Times New Roman" w:cs="Times New Roman"/>
                <w:b/>
                <w:bCs/>
                <w:color w:val="FFFFFF"/>
                <w:sz w:val="18"/>
                <w:szCs w:val="16"/>
              </w:rPr>
            </w:pPr>
            <w:r w:rsidRPr="000A6F9F">
              <w:rPr>
                <w:rFonts w:eastAsia="Times New Roman" w:cs="Times New Roman"/>
                <w:b/>
                <w:bCs/>
                <w:color w:val="FFFFFF"/>
                <w:sz w:val="18"/>
                <w:szCs w:val="16"/>
              </w:rPr>
              <w:t>Awards</w:t>
            </w:r>
          </w:p>
        </w:tc>
        <w:tc>
          <w:tcPr>
            <w:tcW w:w="2268" w:type="dxa"/>
            <w:tcBorders>
              <w:top w:val="single" w:sz="4" w:space="0" w:color="4F81BD"/>
              <w:left w:val="nil"/>
              <w:bottom w:val="nil"/>
              <w:right w:val="single" w:sz="4" w:space="0" w:color="4F81BD"/>
            </w:tcBorders>
            <w:shd w:val="clear" w:color="4F81BD" w:fill="4F81BD"/>
            <w:noWrap/>
            <w:vAlign w:val="bottom"/>
            <w:hideMark/>
          </w:tcPr>
          <w:p w:rsidR="00873DA1" w:rsidRPr="000A6F9F" w:rsidRDefault="00873DA1" w:rsidP="00873DA1">
            <w:pPr>
              <w:spacing w:after="0" w:line="240" w:lineRule="auto"/>
              <w:jc w:val="center"/>
              <w:rPr>
                <w:rFonts w:eastAsia="Times New Roman" w:cs="Times New Roman"/>
                <w:b/>
                <w:bCs/>
                <w:color w:val="FFFFFF"/>
                <w:sz w:val="18"/>
                <w:szCs w:val="16"/>
              </w:rPr>
            </w:pPr>
            <w:r w:rsidRPr="000A6F9F">
              <w:rPr>
                <w:rFonts w:eastAsia="Times New Roman" w:cs="Times New Roman"/>
                <w:b/>
                <w:bCs/>
                <w:color w:val="FFFFFF"/>
                <w:sz w:val="18"/>
                <w:szCs w:val="16"/>
              </w:rPr>
              <w:t>Honorable Mentions</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Massachusetts Institute of Technology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44</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41</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Carnegie Mellon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39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45</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Stanford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36</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31</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California, Berkeley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30</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52</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Harvard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28</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24</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Princeton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27</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26</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Georgia Institute of Technology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22</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20</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Washington</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21</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27</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California Institute of Technology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18</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13</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The University of Texas at Austin</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18</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11</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Cornell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15</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38</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Virginia</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15</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10</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Illinois at Urbana-Champaign</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13</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16</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Michigan</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13</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14</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Rice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11</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16</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Duke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10</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6</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000000" w:fill="FFFFFF"/>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Harvey Mudd College</w:t>
            </w:r>
          </w:p>
        </w:tc>
        <w:tc>
          <w:tcPr>
            <w:tcW w:w="2268" w:type="dxa"/>
            <w:tcBorders>
              <w:top w:val="single" w:sz="4" w:space="0" w:color="4F81BD"/>
              <w:left w:val="nil"/>
              <w:bottom w:val="nil"/>
              <w:right w:val="nil"/>
            </w:tcBorders>
            <w:shd w:val="clear" w:color="000000" w:fill="FFFFFF"/>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000000" w:fill="FFFFFF"/>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13</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California, San Diego</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11</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Rensselaer Polytechnic Institute</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11</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Yale University</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8</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University of California, Irvine</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7</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color w:val="000000"/>
                <w:sz w:val="18"/>
                <w:szCs w:val="16"/>
              </w:rPr>
            </w:pPr>
            <w:r w:rsidRPr="000A6F9F">
              <w:rPr>
                <w:rFonts w:eastAsia="Times New Roman" w:cs="Times New Roman"/>
                <w:color w:val="000000"/>
                <w:sz w:val="18"/>
                <w:szCs w:val="16"/>
              </w:rPr>
              <w:t>Washington University in St Louis</w:t>
            </w:r>
          </w:p>
        </w:tc>
        <w:tc>
          <w:tcPr>
            <w:tcW w:w="2268" w:type="dxa"/>
            <w:tcBorders>
              <w:top w:val="single" w:sz="4" w:space="0" w:color="4F81BD"/>
              <w:left w:val="nil"/>
              <w:bottom w:val="nil"/>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9</w:t>
            </w:r>
          </w:p>
        </w:tc>
        <w:tc>
          <w:tcPr>
            <w:tcW w:w="2268" w:type="dxa"/>
            <w:tcBorders>
              <w:top w:val="single" w:sz="4" w:space="0" w:color="4F81BD"/>
              <w:left w:val="nil"/>
              <w:bottom w:val="nil"/>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color w:val="000000"/>
                <w:sz w:val="18"/>
                <w:szCs w:val="16"/>
              </w:rPr>
            </w:pPr>
            <w:r w:rsidRPr="000A6F9F">
              <w:rPr>
                <w:rFonts w:eastAsia="Times New Roman" w:cs="Times New Roman"/>
                <w:color w:val="000000"/>
                <w:sz w:val="18"/>
                <w:szCs w:val="16"/>
              </w:rPr>
              <w:t>5</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000000" w:fill="FFFF99"/>
            <w:noWrap/>
            <w:vAlign w:val="bottom"/>
            <w:hideMark/>
          </w:tcPr>
          <w:p w:rsidR="00873DA1" w:rsidRPr="000A6F9F" w:rsidRDefault="00873DA1" w:rsidP="00873DA1">
            <w:pPr>
              <w:spacing w:after="0" w:line="240" w:lineRule="auto"/>
              <w:rPr>
                <w:rFonts w:eastAsia="Times New Roman" w:cs="Times New Roman"/>
                <w:i/>
                <w:iCs/>
                <w:color w:val="000000"/>
                <w:sz w:val="18"/>
                <w:szCs w:val="16"/>
              </w:rPr>
            </w:pPr>
            <w:r w:rsidRPr="000A6F9F">
              <w:rPr>
                <w:rFonts w:eastAsia="Times New Roman" w:cs="Times New Roman"/>
                <w:i/>
                <w:iCs/>
                <w:color w:val="000000"/>
                <w:sz w:val="18"/>
                <w:szCs w:val="16"/>
              </w:rPr>
              <w:t>Subtotal (top 22)</w:t>
            </w:r>
          </w:p>
        </w:tc>
        <w:tc>
          <w:tcPr>
            <w:tcW w:w="2268" w:type="dxa"/>
            <w:tcBorders>
              <w:top w:val="single" w:sz="4" w:space="0" w:color="4F81BD"/>
              <w:left w:val="nil"/>
              <w:bottom w:val="nil"/>
              <w:right w:val="nil"/>
            </w:tcBorders>
            <w:shd w:val="clear" w:color="000000" w:fill="FFFF99"/>
            <w:noWrap/>
            <w:vAlign w:val="bottom"/>
            <w:hideMark/>
          </w:tcPr>
          <w:p w:rsidR="00873DA1" w:rsidRPr="000A6F9F" w:rsidRDefault="00873DA1" w:rsidP="00873DA1">
            <w:pPr>
              <w:spacing w:after="0" w:line="240" w:lineRule="auto"/>
              <w:jc w:val="center"/>
              <w:rPr>
                <w:rFonts w:eastAsia="Times New Roman" w:cs="Times New Roman"/>
                <w:i/>
                <w:iCs/>
                <w:color w:val="000000"/>
                <w:sz w:val="18"/>
                <w:szCs w:val="16"/>
              </w:rPr>
            </w:pPr>
            <w:r w:rsidRPr="000A6F9F">
              <w:rPr>
                <w:rFonts w:eastAsia="Times New Roman" w:cs="Times New Roman"/>
                <w:i/>
                <w:iCs/>
                <w:color w:val="000000"/>
                <w:sz w:val="18"/>
                <w:szCs w:val="16"/>
              </w:rPr>
              <w:t>414</w:t>
            </w:r>
          </w:p>
        </w:tc>
        <w:tc>
          <w:tcPr>
            <w:tcW w:w="2268" w:type="dxa"/>
            <w:tcBorders>
              <w:top w:val="single" w:sz="4" w:space="0" w:color="4F81BD"/>
              <w:left w:val="nil"/>
              <w:bottom w:val="nil"/>
              <w:right w:val="single" w:sz="4" w:space="0" w:color="4F81BD"/>
            </w:tcBorders>
            <w:shd w:val="clear" w:color="000000" w:fill="FFFF99"/>
            <w:noWrap/>
            <w:vAlign w:val="bottom"/>
            <w:hideMark/>
          </w:tcPr>
          <w:p w:rsidR="00873DA1" w:rsidRPr="000A6F9F" w:rsidRDefault="00873DA1" w:rsidP="00873DA1">
            <w:pPr>
              <w:spacing w:after="0" w:line="240" w:lineRule="auto"/>
              <w:jc w:val="center"/>
              <w:rPr>
                <w:rFonts w:eastAsia="Times New Roman" w:cs="Times New Roman"/>
                <w:i/>
                <w:iCs/>
                <w:color w:val="000000"/>
                <w:sz w:val="18"/>
                <w:szCs w:val="16"/>
              </w:rPr>
            </w:pPr>
            <w:r w:rsidRPr="000A6F9F">
              <w:rPr>
                <w:rFonts w:eastAsia="Times New Roman" w:cs="Times New Roman"/>
                <w:i/>
                <w:iCs/>
                <w:color w:val="000000"/>
                <w:sz w:val="18"/>
                <w:szCs w:val="16"/>
              </w:rPr>
              <w:t>445</w:t>
            </w:r>
          </w:p>
        </w:tc>
      </w:tr>
      <w:tr w:rsidR="00873DA1" w:rsidRPr="000A6F9F" w:rsidTr="00985C07">
        <w:trPr>
          <w:trHeight w:val="144"/>
          <w:jc w:val="center"/>
        </w:trPr>
        <w:tc>
          <w:tcPr>
            <w:tcW w:w="4008" w:type="dxa"/>
            <w:tcBorders>
              <w:top w:val="single" w:sz="4" w:space="0" w:color="4F81BD"/>
              <w:left w:val="single" w:sz="4" w:space="0" w:color="4F81BD"/>
              <w:bottom w:val="nil"/>
              <w:right w:val="nil"/>
            </w:tcBorders>
            <w:shd w:val="clear" w:color="000000" w:fill="FFFF99"/>
            <w:noWrap/>
            <w:vAlign w:val="bottom"/>
            <w:hideMark/>
          </w:tcPr>
          <w:p w:rsidR="00873DA1" w:rsidRPr="000A6F9F" w:rsidRDefault="00873DA1" w:rsidP="00873DA1">
            <w:pPr>
              <w:spacing w:after="0" w:line="240" w:lineRule="auto"/>
              <w:rPr>
                <w:rFonts w:eastAsia="Times New Roman" w:cs="Times New Roman"/>
                <w:i/>
                <w:iCs/>
                <w:color w:val="000000"/>
                <w:sz w:val="18"/>
                <w:szCs w:val="16"/>
              </w:rPr>
            </w:pPr>
            <w:r w:rsidRPr="000A6F9F">
              <w:rPr>
                <w:rFonts w:eastAsia="Times New Roman" w:cs="Times New Roman"/>
                <w:i/>
                <w:iCs/>
                <w:color w:val="000000"/>
                <w:sz w:val="18"/>
                <w:szCs w:val="16"/>
              </w:rPr>
              <w:t>All other institutions (200)</w:t>
            </w:r>
          </w:p>
        </w:tc>
        <w:tc>
          <w:tcPr>
            <w:tcW w:w="2268" w:type="dxa"/>
            <w:tcBorders>
              <w:top w:val="single" w:sz="4" w:space="0" w:color="4F81BD"/>
              <w:left w:val="nil"/>
              <w:bottom w:val="nil"/>
              <w:right w:val="nil"/>
            </w:tcBorders>
            <w:shd w:val="clear" w:color="000000" w:fill="FFFF99"/>
            <w:noWrap/>
            <w:vAlign w:val="bottom"/>
            <w:hideMark/>
          </w:tcPr>
          <w:p w:rsidR="00873DA1" w:rsidRPr="000A6F9F" w:rsidRDefault="00873DA1" w:rsidP="00873DA1">
            <w:pPr>
              <w:spacing w:after="0" w:line="240" w:lineRule="auto"/>
              <w:jc w:val="center"/>
              <w:rPr>
                <w:rFonts w:eastAsia="Times New Roman" w:cs="Times New Roman"/>
                <w:i/>
                <w:iCs/>
                <w:color w:val="000000"/>
                <w:sz w:val="18"/>
                <w:szCs w:val="16"/>
              </w:rPr>
            </w:pPr>
            <w:r w:rsidRPr="000A6F9F">
              <w:rPr>
                <w:rFonts w:eastAsia="Times New Roman" w:cs="Times New Roman"/>
                <w:i/>
                <w:iCs/>
                <w:color w:val="000000"/>
                <w:sz w:val="18"/>
                <w:szCs w:val="16"/>
              </w:rPr>
              <w:t>391</w:t>
            </w:r>
          </w:p>
        </w:tc>
        <w:tc>
          <w:tcPr>
            <w:tcW w:w="2268" w:type="dxa"/>
            <w:tcBorders>
              <w:top w:val="single" w:sz="4" w:space="0" w:color="4F81BD"/>
              <w:left w:val="nil"/>
              <w:bottom w:val="nil"/>
              <w:right w:val="single" w:sz="4" w:space="0" w:color="4F81BD"/>
            </w:tcBorders>
            <w:shd w:val="clear" w:color="000000" w:fill="FFFF99"/>
            <w:noWrap/>
            <w:vAlign w:val="bottom"/>
            <w:hideMark/>
          </w:tcPr>
          <w:p w:rsidR="00873DA1" w:rsidRPr="000A6F9F" w:rsidRDefault="00873DA1" w:rsidP="00873DA1">
            <w:pPr>
              <w:spacing w:after="0" w:line="240" w:lineRule="auto"/>
              <w:jc w:val="center"/>
              <w:rPr>
                <w:rFonts w:eastAsia="Times New Roman" w:cs="Times New Roman"/>
                <w:i/>
                <w:iCs/>
                <w:color w:val="000000"/>
                <w:sz w:val="18"/>
                <w:szCs w:val="16"/>
              </w:rPr>
            </w:pPr>
            <w:r w:rsidRPr="000A6F9F">
              <w:rPr>
                <w:rFonts w:eastAsia="Times New Roman" w:cs="Times New Roman"/>
                <w:i/>
                <w:iCs/>
                <w:color w:val="000000"/>
                <w:sz w:val="18"/>
                <w:szCs w:val="16"/>
              </w:rPr>
              <w:t>424</w:t>
            </w:r>
          </w:p>
        </w:tc>
      </w:tr>
      <w:tr w:rsidR="00873DA1" w:rsidRPr="000A6F9F" w:rsidTr="00985C07">
        <w:trPr>
          <w:trHeight w:val="144"/>
          <w:jc w:val="center"/>
        </w:trPr>
        <w:tc>
          <w:tcPr>
            <w:tcW w:w="4008" w:type="dxa"/>
            <w:tcBorders>
              <w:top w:val="single" w:sz="4" w:space="0" w:color="4F81BD"/>
              <w:left w:val="single" w:sz="4" w:space="0" w:color="4F81BD"/>
              <w:bottom w:val="single" w:sz="4" w:space="0" w:color="4F81BD"/>
              <w:right w:val="nil"/>
            </w:tcBorders>
            <w:shd w:val="clear" w:color="auto" w:fill="auto"/>
            <w:noWrap/>
            <w:vAlign w:val="bottom"/>
            <w:hideMark/>
          </w:tcPr>
          <w:p w:rsidR="00873DA1" w:rsidRPr="000A6F9F" w:rsidRDefault="00873DA1" w:rsidP="00873DA1">
            <w:pPr>
              <w:spacing w:after="0" w:line="240" w:lineRule="auto"/>
              <w:rPr>
                <w:rFonts w:eastAsia="Times New Roman" w:cs="Times New Roman"/>
                <w:b/>
                <w:bCs/>
                <w:color w:val="000000"/>
                <w:sz w:val="18"/>
                <w:szCs w:val="16"/>
              </w:rPr>
            </w:pPr>
            <w:r w:rsidRPr="000A6F9F">
              <w:rPr>
                <w:rFonts w:eastAsia="Times New Roman" w:cs="Times New Roman"/>
                <w:b/>
                <w:bCs/>
                <w:color w:val="000000"/>
                <w:sz w:val="18"/>
                <w:szCs w:val="16"/>
              </w:rPr>
              <w:t>TOTAL</w:t>
            </w:r>
          </w:p>
        </w:tc>
        <w:tc>
          <w:tcPr>
            <w:tcW w:w="2268" w:type="dxa"/>
            <w:tcBorders>
              <w:top w:val="single" w:sz="4" w:space="0" w:color="4F81BD"/>
              <w:left w:val="nil"/>
              <w:bottom w:val="single" w:sz="4" w:space="0" w:color="4F81BD"/>
              <w:right w:val="nil"/>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b/>
                <w:bCs/>
                <w:color w:val="000000"/>
                <w:sz w:val="18"/>
                <w:szCs w:val="16"/>
              </w:rPr>
            </w:pPr>
            <w:r w:rsidRPr="000A6F9F">
              <w:rPr>
                <w:rFonts w:eastAsia="Times New Roman" w:cs="Times New Roman"/>
                <w:b/>
                <w:bCs/>
                <w:color w:val="000000"/>
                <w:sz w:val="18"/>
                <w:szCs w:val="16"/>
              </w:rPr>
              <w:t>805</w:t>
            </w:r>
          </w:p>
        </w:tc>
        <w:tc>
          <w:tcPr>
            <w:tcW w:w="2268" w:type="dxa"/>
            <w:tcBorders>
              <w:top w:val="single" w:sz="4" w:space="0" w:color="4F81BD"/>
              <w:left w:val="nil"/>
              <w:bottom w:val="single" w:sz="4" w:space="0" w:color="4F81BD"/>
              <w:right w:val="single" w:sz="4" w:space="0" w:color="4F81BD"/>
            </w:tcBorders>
            <w:shd w:val="clear" w:color="auto" w:fill="auto"/>
            <w:noWrap/>
            <w:vAlign w:val="bottom"/>
            <w:hideMark/>
          </w:tcPr>
          <w:p w:rsidR="00873DA1" w:rsidRPr="000A6F9F" w:rsidRDefault="00873DA1" w:rsidP="00873DA1">
            <w:pPr>
              <w:spacing w:after="0" w:line="240" w:lineRule="auto"/>
              <w:jc w:val="center"/>
              <w:rPr>
                <w:rFonts w:eastAsia="Times New Roman" w:cs="Times New Roman"/>
                <w:b/>
                <w:bCs/>
                <w:color w:val="000000"/>
                <w:sz w:val="18"/>
                <w:szCs w:val="16"/>
              </w:rPr>
            </w:pPr>
            <w:r w:rsidRPr="000A6F9F">
              <w:rPr>
                <w:rFonts w:eastAsia="Times New Roman" w:cs="Times New Roman"/>
                <w:b/>
                <w:bCs/>
                <w:color w:val="000000"/>
                <w:sz w:val="18"/>
                <w:szCs w:val="16"/>
              </w:rPr>
              <w:t>869</w:t>
            </w:r>
          </w:p>
        </w:tc>
      </w:tr>
    </w:tbl>
    <w:p w:rsidR="001E1999" w:rsidRDefault="001E1999" w:rsidP="00873DA1">
      <w:pPr>
        <w:autoSpaceDE w:val="0"/>
        <w:autoSpaceDN w:val="0"/>
        <w:adjustRightInd w:val="0"/>
        <w:spacing w:after="0"/>
        <w:jc w:val="center"/>
        <w:rPr>
          <w:rFonts w:cstheme="minorHAnsi"/>
          <w:b/>
        </w:rPr>
      </w:pPr>
    </w:p>
    <w:p w:rsidR="003775A1" w:rsidRDefault="00873DA1" w:rsidP="00873DA1">
      <w:pPr>
        <w:autoSpaceDE w:val="0"/>
        <w:autoSpaceDN w:val="0"/>
        <w:adjustRightInd w:val="0"/>
        <w:spacing w:after="0"/>
        <w:jc w:val="center"/>
        <w:rPr>
          <w:rFonts w:cstheme="minorHAnsi"/>
        </w:rPr>
      </w:pPr>
      <w:r w:rsidRPr="009B4573">
        <w:rPr>
          <w:rFonts w:cstheme="minorHAnsi"/>
          <w:b/>
        </w:rPr>
        <w:t xml:space="preserve">Table 1: </w:t>
      </w:r>
      <w:r w:rsidR="001E1999">
        <w:rPr>
          <w:rFonts w:cstheme="minorHAnsi"/>
          <w:b/>
        </w:rPr>
        <w:t xml:space="preserve"> </w:t>
      </w:r>
      <w:r w:rsidR="001E1999" w:rsidRPr="001E1999">
        <w:rPr>
          <w:rFonts w:cstheme="minorHAnsi"/>
        </w:rPr>
        <w:t>Undergraduate Ins</w:t>
      </w:r>
      <w:r w:rsidR="001D0E35">
        <w:rPr>
          <w:rFonts w:cstheme="minorHAnsi"/>
        </w:rPr>
        <w:t xml:space="preserve">titutions of students receiving a GRF award or honorable mention </w:t>
      </w:r>
    </w:p>
    <w:p w:rsidR="004059E2" w:rsidRPr="001E1999" w:rsidRDefault="001D0E35" w:rsidP="00873DA1">
      <w:pPr>
        <w:autoSpaceDE w:val="0"/>
        <w:autoSpaceDN w:val="0"/>
        <w:adjustRightInd w:val="0"/>
        <w:spacing w:after="0"/>
        <w:jc w:val="center"/>
        <w:rPr>
          <w:rFonts w:cstheme="minorHAnsi"/>
        </w:rPr>
      </w:pPr>
      <w:r>
        <w:rPr>
          <w:rFonts w:cstheme="minorHAnsi"/>
        </w:rPr>
        <w:t xml:space="preserve">between </w:t>
      </w:r>
      <w:r w:rsidR="003775A1">
        <w:rPr>
          <w:rFonts w:cstheme="minorHAnsi"/>
        </w:rPr>
        <w:t xml:space="preserve">2003 and </w:t>
      </w:r>
      <w:r w:rsidR="00185187">
        <w:rPr>
          <w:rFonts w:cstheme="minorHAnsi"/>
        </w:rPr>
        <w:t>2012</w:t>
      </w:r>
    </w:p>
    <w:p w:rsidR="009B4573" w:rsidRDefault="009B4573" w:rsidP="009B4573">
      <w:pPr>
        <w:autoSpaceDE w:val="0"/>
        <w:autoSpaceDN w:val="0"/>
        <w:adjustRightInd w:val="0"/>
        <w:spacing w:after="0"/>
        <w:rPr>
          <w:rFonts w:cstheme="minorHAnsi"/>
        </w:rPr>
      </w:pPr>
    </w:p>
    <w:p w:rsidR="009B4573" w:rsidRDefault="002E2C52" w:rsidP="009B4573">
      <w:pPr>
        <w:autoSpaceDE w:val="0"/>
        <w:autoSpaceDN w:val="0"/>
        <w:adjustRightInd w:val="0"/>
        <w:spacing w:after="0"/>
        <w:rPr>
          <w:rFonts w:cstheme="minorHAnsi"/>
        </w:rPr>
      </w:pPr>
      <w:r>
        <w:rPr>
          <w:rFonts w:cstheme="minorHAnsi"/>
        </w:rPr>
        <w:t>The top 12 four</w:t>
      </w:r>
      <w:r w:rsidR="009B4573">
        <w:rPr>
          <w:rFonts w:cstheme="minorHAnsi"/>
        </w:rPr>
        <w:t>-year institutions (out of 46</w:t>
      </w:r>
      <w:r w:rsidR="00D26F42">
        <w:rPr>
          <w:rFonts w:cstheme="minorHAnsi"/>
        </w:rPr>
        <w:t xml:space="preserve"> 4-year institutions</w:t>
      </w:r>
      <w:r w:rsidR="009B4573">
        <w:rPr>
          <w:rFonts w:cstheme="minorHAnsi"/>
        </w:rPr>
        <w:t>) are listed in Table 2. Collectively, they received 46 fellow</w:t>
      </w:r>
      <w:r w:rsidR="005F5365">
        <w:rPr>
          <w:rFonts w:cstheme="minorHAnsi"/>
        </w:rPr>
        <w:t>ships and 47 honorable mentions,</w:t>
      </w:r>
      <w:r w:rsidR="009B4573">
        <w:rPr>
          <w:rFonts w:cstheme="minorHAnsi"/>
        </w:rPr>
        <w:t xml:space="preserve"> maki</w:t>
      </w:r>
      <w:r w:rsidR="00D26F42">
        <w:rPr>
          <w:rFonts w:cstheme="minorHAnsi"/>
        </w:rPr>
        <w:t>ng them a group larger than any</w:t>
      </w:r>
      <w:r w:rsidR="009B4573">
        <w:rPr>
          <w:rFonts w:cstheme="minorHAnsi"/>
        </w:rPr>
        <w:t xml:space="preserve"> single institution</w:t>
      </w:r>
      <w:r w:rsidR="00C55B5C">
        <w:rPr>
          <w:rFonts w:cstheme="minorHAnsi"/>
        </w:rPr>
        <w:t xml:space="preserve"> in Table 1</w:t>
      </w:r>
      <w:r w:rsidR="009B4573">
        <w:rPr>
          <w:rFonts w:cstheme="minorHAnsi"/>
        </w:rPr>
        <w:t xml:space="preserve">. </w:t>
      </w:r>
      <w:r w:rsidR="00185187">
        <w:rPr>
          <w:rFonts w:cstheme="minorHAnsi"/>
        </w:rPr>
        <w:t xml:space="preserve"> </w:t>
      </w:r>
    </w:p>
    <w:p w:rsidR="004059E2" w:rsidRDefault="004059E2" w:rsidP="00BE49AD">
      <w:pPr>
        <w:autoSpaceDE w:val="0"/>
        <w:autoSpaceDN w:val="0"/>
        <w:adjustRightInd w:val="0"/>
        <w:spacing w:after="0"/>
        <w:rPr>
          <w:rFonts w:cstheme="minorHAnsi"/>
        </w:rPr>
      </w:pPr>
    </w:p>
    <w:tbl>
      <w:tblPr>
        <w:tblW w:w="8164" w:type="dxa"/>
        <w:jc w:val="center"/>
        <w:tblBorders>
          <w:top w:val="single" w:sz="4" w:space="0" w:color="4F81BD"/>
          <w:left w:val="single" w:sz="4" w:space="0" w:color="4F81BD"/>
          <w:right w:val="single" w:sz="4" w:space="0" w:color="4F81BD"/>
          <w:insideH w:val="single" w:sz="4" w:space="0" w:color="4F81BD"/>
        </w:tblBorders>
        <w:tblLook w:val="04A0"/>
      </w:tblPr>
      <w:tblGrid>
        <w:gridCol w:w="3868"/>
        <w:gridCol w:w="2048"/>
        <w:gridCol w:w="2248"/>
      </w:tblGrid>
      <w:tr w:rsidR="009B4573" w:rsidRPr="000A6F9F" w:rsidTr="001E1999">
        <w:trPr>
          <w:trHeight w:val="144"/>
          <w:jc w:val="center"/>
        </w:trPr>
        <w:tc>
          <w:tcPr>
            <w:tcW w:w="3868" w:type="dxa"/>
            <w:shd w:val="clear" w:color="4F81BD" w:fill="4F81BD"/>
            <w:noWrap/>
            <w:vAlign w:val="bottom"/>
            <w:hideMark/>
          </w:tcPr>
          <w:p w:rsidR="009B4573" w:rsidRPr="000A6F9F" w:rsidRDefault="009B4573" w:rsidP="009B4573">
            <w:pPr>
              <w:spacing w:after="0" w:line="240" w:lineRule="auto"/>
              <w:rPr>
                <w:rFonts w:eastAsia="Times New Roman" w:cs="Times New Roman"/>
                <w:b/>
                <w:bCs/>
                <w:color w:val="FFFFFF"/>
                <w:sz w:val="18"/>
                <w:szCs w:val="18"/>
              </w:rPr>
            </w:pPr>
            <w:r w:rsidRPr="000A6F9F">
              <w:rPr>
                <w:rFonts w:eastAsia="Times New Roman" w:cs="Times New Roman"/>
                <w:b/>
                <w:bCs/>
                <w:color w:val="FFFFFF"/>
                <w:sz w:val="18"/>
                <w:szCs w:val="18"/>
              </w:rPr>
              <w:t>Institutions</w:t>
            </w:r>
          </w:p>
        </w:tc>
        <w:tc>
          <w:tcPr>
            <w:tcW w:w="2048" w:type="dxa"/>
            <w:shd w:val="clear" w:color="4F81BD" w:fill="4F81BD"/>
            <w:noWrap/>
            <w:vAlign w:val="bottom"/>
            <w:hideMark/>
          </w:tcPr>
          <w:p w:rsidR="009B4573" w:rsidRPr="000A6F9F" w:rsidRDefault="009B4573" w:rsidP="009B4573">
            <w:pPr>
              <w:spacing w:after="0" w:line="240" w:lineRule="auto"/>
              <w:jc w:val="center"/>
              <w:rPr>
                <w:rFonts w:eastAsia="Times New Roman" w:cs="Times New Roman"/>
                <w:b/>
                <w:bCs/>
                <w:color w:val="FFFFFF"/>
                <w:sz w:val="18"/>
                <w:szCs w:val="18"/>
              </w:rPr>
            </w:pPr>
            <w:r w:rsidRPr="000A6F9F">
              <w:rPr>
                <w:rFonts w:eastAsia="Times New Roman" w:cs="Times New Roman"/>
                <w:b/>
                <w:bCs/>
                <w:color w:val="FFFFFF"/>
                <w:sz w:val="18"/>
                <w:szCs w:val="18"/>
              </w:rPr>
              <w:t>Awards</w:t>
            </w:r>
          </w:p>
        </w:tc>
        <w:tc>
          <w:tcPr>
            <w:tcW w:w="2248" w:type="dxa"/>
            <w:shd w:val="clear" w:color="4F81BD" w:fill="4F81BD"/>
            <w:noWrap/>
            <w:vAlign w:val="bottom"/>
            <w:hideMark/>
          </w:tcPr>
          <w:p w:rsidR="009B4573" w:rsidRPr="000A6F9F" w:rsidRDefault="009B4573" w:rsidP="009B4573">
            <w:pPr>
              <w:spacing w:after="0" w:line="240" w:lineRule="auto"/>
              <w:jc w:val="center"/>
              <w:rPr>
                <w:rFonts w:eastAsia="Times New Roman" w:cs="Times New Roman"/>
                <w:b/>
                <w:bCs/>
                <w:color w:val="FFFFFF"/>
                <w:sz w:val="18"/>
                <w:szCs w:val="18"/>
              </w:rPr>
            </w:pPr>
            <w:r w:rsidRPr="000A6F9F">
              <w:rPr>
                <w:rFonts w:eastAsia="Times New Roman" w:cs="Times New Roman"/>
                <w:b/>
                <w:bCs/>
                <w:color w:val="FFFFFF"/>
                <w:sz w:val="18"/>
                <w:szCs w:val="18"/>
              </w:rPr>
              <w:t>Honorable mentions</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Harvey Mudd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9</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13</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Franklin W. Olin College of Engineering</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7</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4</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Swarthmore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5</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9</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Williams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3</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10</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Middlebury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3</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Carleton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3</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1</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Amherst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3</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1</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Pomona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3</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0</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United States Military Academy</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Oberlin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Bryn Mawr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Haverford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1</w:t>
            </w:r>
          </w:p>
        </w:tc>
      </w:tr>
      <w:tr w:rsidR="009B4573" w:rsidRPr="000A6F9F" w:rsidTr="001E1999">
        <w:trPr>
          <w:trHeight w:val="144"/>
          <w:jc w:val="center"/>
        </w:trPr>
        <w:tc>
          <w:tcPr>
            <w:tcW w:w="3868" w:type="dxa"/>
            <w:shd w:val="clear" w:color="auto" w:fill="auto"/>
            <w:noWrap/>
            <w:vAlign w:val="bottom"/>
            <w:hideMark/>
          </w:tcPr>
          <w:p w:rsidR="009B4573" w:rsidRPr="000A6F9F" w:rsidRDefault="009B4573" w:rsidP="009B4573">
            <w:pPr>
              <w:spacing w:after="0" w:line="240" w:lineRule="auto"/>
              <w:rPr>
                <w:rFonts w:eastAsia="Times New Roman" w:cs="Times New Roman"/>
                <w:color w:val="000000"/>
                <w:sz w:val="18"/>
                <w:szCs w:val="18"/>
              </w:rPr>
            </w:pPr>
            <w:r w:rsidRPr="000A6F9F">
              <w:rPr>
                <w:rFonts w:eastAsia="Times New Roman" w:cs="Times New Roman"/>
                <w:color w:val="000000"/>
                <w:sz w:val="18"/>
                <w:szCs w:val="18"/>
              </w:rPr>
              <w:t>Wellesley College</w:t>
            </w:r>
          </w:p>
        </w:tc>
        <w:tc>
          <w:tcPr>
            <w:tcW w:w="20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2</w:t>
            </w:r>
          </w:p>
        </w:tc>
        <w:tc>
          <w:tcPr>
            <w:tcW w:w="2248" w:type="dxa"/>
            <w:shd w:val="clear" w:color="auto" w:fill="auto"/>
            <w:noWrap/>
            <w:vAlign w:val="bottom"/>
            <w:hideMark/>
          </w:tcPr>
          <w:p w:rsidR="009B4573" w:rsidRPr="000A6F9F" w:rsidRDefault="009B4573" w:rsidP="009B4573">
            <w:pPr>
              <w:spacing w:after="0" w:line="240" w:lineRule="auto"/>
              <w:jc w:val="center"/>
              <w:rPr>
                <w:rFonts w:eastAsia="Times New Roman" w:cs="Times New Roman"/>
                <w:color w:val="000000"/>
                <w:sz w:val="18"/>
                <w:szCs w:val="18"/>
              </w:rPr>
            </w:pPr>
            <w:r w:rsidRPr="000A6F9F">
              <w:rPr>
                <w:rFonts w:eastAsia="Times New Roman" w:cs="Times New Roman"/>
                <w:color w:val="000000"/>
                <w:sz w:val="18"/>
                <w:szCs w:val="18"/>
              </w:rPr>
              <w:t>0</w:t>
            </w:r>
          </w:p>
        </w:tc>
      </w:tr>
      <w:tr w:rsidR="009B4573" w:rsidRPr="000A6F9F" w:rsidTr="001E1999">
        <w:trPr>
          <w:trHeight w:val="144"/>
          <w:jc w:val="center"/>
        </w:trPr>
        <w:tc>
          <w:tcPr>
            <w:tcW w:w="3868" w:type="dxa"/>
            <w:shd w:val="clear" w:color="000000" w:fill="FFFFCC"/>
            <w:noWrap/>
            <w:vAlign w:val="bottom"/>
            <w:hideMark/>
          </w:tcPr>
          <w:p w:rsidR="009B4573" w:rsidRPr="000A6F9F" w:rsidRDefault="00185187" w:rsidP="009B4573">
            <w:pPr>
              <w:spacing w:after="0" w:line="240" w:lineRule="auto"/>
              <w:rPr>
                <w:rFonts w:eastAsia="Times New Roman" w:cs="Times New Roman"/>
                <w:i/>
                <w:iCs/>
                <w:color w:val="000000"/>
                <w:sz w:val="18"/>
                <w:szCs w:val="18"/>
              </w:rPr>
            </w:pPr>
            <w:r>
              <w:rPr>
                <w:rFonts w:eastAsia="Times New Roman" w:cs="Times New Roman"/>
                <w:i/>
                <w:iCs/>
                <w:color w:val="000000"/>
                <w:sz w:val="18"/>
                <w:szCs w:val="18"/>
              </w:rPr>
              <w:t>S</w:t>
            </w:r>
            <w:r w:rsidR="00D22F46" w:rsidRPr="000A6F9F">
              <w:rPr>
                <w:rFonts w:eastAsia="Times New Roman" w:cs="Times New Roman"/>
                <w:i/>
                <w:iCs/>
                <w:color w:val="000000"/>
                <w:sz w:val="18"/>
                <w:szCs w:val="18"/>
              </w:rPr>
              <w:t>ubtotal (top 13</w:t>
            </w:r>
            <w:r w:rsidR="009B4573" w:rsidRPr="000A6F9F">
              <w:rPr>
                <w:rFonts w:eastAsia="Times New Roman" w:cs="Times New Roman"/>
                <w:i/>
                <w:iCs/>
                <w:color w:val="000000"/>
                <w:sz w:val="18"/>
                <w:szCs w:val="18"/>
              </w:rPr>
              <w:t>)</w:t>
            </w:r>
          </w:p>
        </w:tc>
        <w:tc>
          <w:tcPr>
            <w:tcW w:w="2048" w:type="dxa"/>
            <w:shd w:val="clear" w:color="000000" w:fill="FFFFCC"/>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46</w:t>
            </w:r>
          </w:p>
        </w:tc>
        <w:tc>
          <w:tcPr>
            <w:tcW w:w="2248" w:type="dxa"/>
            <w:shd w:val="clear" w:color="000000" w:fill="FFFFCC"/>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47</w:t>
            </w:r>
          </w:p>
        </w:tc>
      </w:tr>
      <w:tr w:rsidR="009B4573" w:rsidRPr="000A6F9F" w:rsidTr="001E1999">
        <w:trPr>
          <w:trHeight w:val="144"/>
          <w:jc w:val="center"/>
        </w:trPr>
        <w:tc>
          <w:tcPr>
            <w:tcW w:w="3868" w:type="dxa"/>
            <w:shd w:val="clear" w:color="000000" w:fill="FFFFCC"/>
            <w:noWrap/>
            <w:vAlign w:val="bottom"/>
            <w:hideMark/>
          </w:tcPr>
          <w:p w:rsidR="009B4573" w:rsidRPr="000A6F9F" w:rsidRDefault="00185187" w:rsidP="009B4573">
            <w:pPr>
              <w:spacing w:after="0" w:line="240" w:lineRule="auto"/>
              <w:rPr>
                <w:rFonts w:eastAsia="Times New Roman" w:cs="Times New Roman"/>
                <w:i/>
                <w:iCs/>
                <w:color w:val="000000"/>
                <w:sz w:val="18"/>
                <w:szCs w:val="18"/>
              </w:rPr>
            </w:pPr>
            <w:r>
              <w:rPr>
                <w:rFonts w:eastAsia="Times New Roman" w:cs="Times New Roman"/>
                <w:i/>
                <w:iCs/>
                <w:color w:val="000000"/>
                <w:sz w:val="18"/>
                <w:szCs w:val="18"/>
              </w:rPr>
              <w:t>A</w:t>
            </w:r>
            <w:r w:rsidR="009B4573" w:rsidRPr="000A6F9F">
              <w:rPr>
                <w:rFonts w:eastAsia="Times New Roman" w:cs="Times New Roman"/>
                <w:i/>
                <w:iCs/>
                <w:color w:val="000000"/>
                <w:sz w:val="18"/>
                <w:szCs w:val="18"/>
              </w:rPr>
              <w:t>ll other four-year colleges (34)</w:t>
            </w:r>
          </w:p>
        </w:tc>
        <w:tc>
          <w:tcPr>
            <w:tcW w:w="2048" w:type="dxa"/>
            <w:shd w:val="clear" w:color="000000" w:fill="FFFFCC"/>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34</w:t>
            </w:r>
          </w:p>
        </w:tc>
        <w:tc>
          <w:tcPr>
            <w:tcW w:w="2248" w:type="dxa"/>
            <w:shd w:val="clear" w:color="000000" w:fill="FFFFCC"/>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29</w:t>
            </w:r>
          </w:p>
        </w:tc>
      </w:tr>
      <w:tr w:rsidR="009B4573" w:rsidRPr="000A6F9F" w:rsidTr="001E1999">
        <w:trPr>
          <w:trHeight w:val="144"/>
          <w:jc w:val="center"/>
        </w:trPr>
        <w:tc>
          <w:tcPr>
            <w:tcW w:w="3868" w:type="dxa"/>
            <w:shd w:val="clear" w:color="auto" w:fill="FFFFFF" w:themeFill="background1"/>
            <w:noWrap/>
            <w:vAlign w:val="bottom"/>
            <w:hideMark/>
          </w:tcPr>
          <w:p w:rsidR="009B4573" w:rsidRPr="000A6F9F" w:rsidRDefault="009B4573" w:rsidP="009B4573">
            <w:pPr>
              <w:spacing w:after="0" w:line="240" w:lineRule="auto"/>
              <w:rPr>
                <w:rFonts w:eastAsia="Times New Roman" w:cs="Times New Roman"/>
                <w:b/>
                <w:bCs/>
                <w:color w:val="000000"/>
                <w:sz w:val="18"/>
                <w:szCs w:val="18"/>
              </w:rPr>
            </w:pPr>
            <w:r w:rsidRPr="000A6F9F">
              <w:rPr>
                <w:rFonts w:eastAsia="Times New Roman" w:cs="Times New Roman"/>
                <w:b/>
                <w:bCs/>
                <w:color w:val="000000"/>
                <w:sz w:val="18"/>
                <w:szCs w:val="18"/>
              </w:rPr>
              <w:t>TOTAL</w:t>
            </w:r>
          </w:p>
        </w:tc>
        <w:tc>
          <w:tcPr>
            <w:tcW w:w="2048" w:type="dxa"/>
            <w:shd w:val="clear" w:color="auto" w:fill="FFFFFF" w:themeFill="background1"/>
            <w:noWrap/>
            <w:vAlign w:val="bottom"/>
            <w:hideMark/>
          </w:tcPr>
          <w:p w:rsidR="009B4573" w:rsidRPr="000A6F9F" w:rsidRDefault="009B4573" w:rsidP="009B4573">
            <w:pPr>
              <w:spacing w:after="0" w:line="240" w:lineRule="auto"/>
              <w:jc w:val="center"/>
              <w:rPr>
                <w:rFonts w:eastAsia="Times New Roman" w:cs="Times New Roman"/>
                <w:b/>
                <w:bCs/>
                <w:color w:val="000000"/>
                <w:sz w:val="18"/>
                <w:szCs w:val="18"/>
              </w:rPr>
            </w:pPr>
            <w:r w:rsidRPr="000A6F9F">
              <w:rPr>
                <w:rFonts w:eastAsia="Times New Roman" w:cs="Times New Roman"/>
                <w:b/>
                <w:bCs/>
                <w:color w:val="000000"/>
                <w:sz w:val="18"/>
                <w:szCs w:val="18"/>
              </w:rPr>
              <w:t>80</w:t>
            </w:r>
          </w:p>
        </w:tc>
        <w:tc>
          <w:tcPr>
            <w:tcW w:w="2248" w:type="dxa"/>
            <w:shd w:val="clear" w:color="auto" w:fill="FFFFFF" w:themeFill="background1"/>
            <w:noWrap/>
            <w:vAlign w:val="bottom"/>
            <w:hideMark/>
          </w:tcPr>
          <w:p w:rsidR="009B4573" w:rsidRPr="000A6F9F" w:rsidRDefault="009B4573" w:rsidP="009B4573">
            <w:pPr>
              <w:spacing w:after="0" w:line="240" w:lineRule="auto"/>
              <w:jc w:val="center"/>
              <w:rPr>
                <w:rFonts w:eastAsia="Times New Roman" w:cs="Times New Roman"/>
                <w:b/>
                <w:bCs/>
                <w:color w:val="000000"/>
                <w:sz w:val="18"/>
                <w:szCs w:val="18"/>
              </w:rPr>
            </w:pPr>
            <w:r w:rsidRPr="000A6F9F">
              <w:rPr>
                <w:rFonts w:eastAsia="Times New Roman" w:cs="Times New Roman"/>
                <w:b/>
                <w:bCs/>
                <w:color w:val="000000"/>
                <w:sz w:val="18"/>
                <w:szCs w:val="18"/>
              </w:rPr>
              <w:t>76</w:t>
            </w:r>
          </w:p>
        </w:tc>
      </w:tr>
      <w:tr w:rsidR="009B4573" w:rsidRPr="000A6F9F" w:rsidTr="001E1999">
        <w:trPr>
          <w:trHeight w:val="144"/>
          <w:jc w:val="center"/>
        </w:trPr>
        <w:tc>
          <w:tcPr>
            <w:tcW w:w="3868" w:type="dxa"/>
            <w:shd w:val="clear" w:color="000000" w:fill="DDDDDD"/>
            <w:noWrap/>
            <w:vAlign w:val="bottom"/>
            <w:hideMark/>
          </w:tcPr>
          <w:p w:rsidR="009B4573" w:rsidRPr="000A6F9F" w:rsidRDefault="009B4573" w:rsidP="009B4573">
            <w:pPr>
              <w:spacing w:after="0" w:line="240" w:lineRule="auto"/>
              <w:rPr>
                <w:rFonts w:eastAsia="Times New Roman" w:cs="Times New Roman"/>
                <w:i/>
                <w:iCs/>
                <w:color w:val="000000"/>
                <w:sz w:val="18"/>
                <w:szCs w:val="18"/>
              </w:rPr>
            </w:pPr>
            <w:r w:rsidRPr="000A6F9F">
              <w:rPr>
                <w:rFonts w:eastAsia="Times New Roman" w:cs="Times New Roman"/>
                <w:i/>
                <w:iCs/>
                <w:color w:val="000000"/>
                <w:sz w:val="18"/>
                <w:szCs w:val="18"/>
              </w:rPr>
              <w:t>all institutions</w:t>
            </w:r>
          </w:p>
        </w:tc>
        <w:tc>
          <w:tcPr>
            <w:tcW w:w="2048" w:type="dxa"/>
            <w:shd w:val="clear" w:color="000000" w:fill="DDDDDD"/>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805</w:t>
            </w:r>
          </w:p>
        </w:tc>
        <w:tc>
          <w:tcPr>
            <w:tcW w:w="2248" w:type="dxa"/>
            <w:shd w:val="clear" w:color="000000" w:fill="DDDDDD"/>
            <w:noWrap/>
            <w:vAlign w:val="bottom"/>
            <w:hideMark/>
          </w:tcPr>
          <w:p w:rsidR="009B4573" w:rsidRPr="000A6F9F" w:rsidRDefault="009B4573" w:rsidP="009B4573">
            <w:pPr>
              <w:spacing w:after="0" w:line="240" w:lineRule="auto"/>
              <w:jc w:val="center"/>
              <w:rPr>
                <w:rFonts w:eastAsia="Times New Roman" w:cs="Times New Roman"/>
                <w:i/>
                <w:iCs/>
                <w:color w:val="000000"/>
                <w:sz w:val="18"/>
                <w:szCs w:val="18"/>
              </w:rPr>
            </w:pPr>
            <w:r w:rsidRPr="000A6F9F">
              <w:rPr>
                <w:rFonts w:eastAsia="Times New Roman" w:cs="Times New Roman"/>
                <w:i/>
                <w:iCs/>
                <w:color w:val="000000"/>
                <w:sz w:val="18"/>
                <w:szCs w:val="18"/>
              </w:rPr>
              <w:t>869</w:t>
            </w:r>
          </w:p>
        </w:tc>
      </w:tr>
    </w:tbl>
    <w:p w:rsidR="00152C75" w:rsidRDefault="00152C75" w:rsidP="009B4573">
      <w:pPr>
        <w:autoSpaceDE w:val="0"/>
        <w:autoSpaceDN w:val="0"/>
        <w:adjustRightInd w:val="0"/>
        <w:spacing w:after="0"/>
        <w:jc w:val="center"/>
        <w:rPr>
          <w:rFonts w:cstheme="minorHAnsi"/>
          <w:b/>
        </w:rPr>
      </w:pPr>
    </w:p>
    <w:p w:rsidR="003775A1" w:rsidRDefault="009B4573" w:rsidP="009B4573">
      <w:pPr>
        <w:autoSpaceDE w:val="0"/>
        <w:autoSpaceDN w:val="0"/>
        <w:adjustRightInd w:val="0"/>
        <w:spacing w:after="0"/>
        <w:jc w:val="center"/>
        <w:rPr>
          <w:rFonts w:cstheme="minorHAnsi"/>
        </w:rPr>
      </w:pPr>
      <w:r w:rsidRPr="009B4573">
        <w:rPr>
          <w:rFonts w:cstheme="minorHAnsi"/>
          <w:b/>
        </w:rPr>
        <w:t>Table 2:</w:t>
      </w:r>
      <w:r w:rsidR="001E1999">
        <w:rPr>
          <w:rFonts w:cstheme="minorHAnsi"/>
          <w:b/>
        </w:rPr>
        <w:t xml:space="preserve"> </w:t>
      </w:r>
      <w:r w:rsidR="001E1999" w:rsidRPr="001E1999">
        <w:rPr>
          <w:rFonts w:cstheme="minorHAnsi"/>
        </w:rPr>
        <w:t>4</w:t>
      </w:r>
      <w:r w:rsidR="001D0E35">
        <w:rPr>
          <w:rFonts w:cstheme="minorHAnsi"/>
        </w:rPr>
        <w:t xml:space="preserve">-year colleges whose graduates </w:t>
      </w:r>
      <w:r w:rsidR="003775A1">
        <w:rPr>
          <w:rFonts w:cstheme="minorHAnsi"/>
        </w:rPr>
        <w:t xml:space="preserve">received a GRF award or honorable mention </w:t>
      </w:r>
    </w:p>
    <w:p w:rsidR="009B4573" w:rsidRPr="001E1999" w:rsidRDefault="003775A1" w:rsidP="009B4573">
      <w:pPr>
        <w:autoSpaceDE w:val="0"/>
        <w:autoSpaceDN w:val="0"/>
        <w:adjustRightInd w:val="0"/>
        <w:spacing w:after="0"/>
        <w:jc w:val="center"/>
        <w:rPr>
          <w:rFonts w:cstheme="minorHAnsi"/>
        </w:rPr>
      </w:pPr>
      <w:r>
        <w:rPr>
          <w:rFonts w:cstheme="minorHAnsi"/>
        </w:rPr>
        <w:t>between 2003 and 2012</w:t>
      </w:r>
      <w:r w:rsidR="001E1999" w:rsidRPr="001E1999">
        <w:rPr>
          <w:rFonts w:cstheme="minorHAnsi"/>
        </w:rPr>
        <w:t xml:space="preserve"> </w:t>
      </w:r>
    </w:p>
    <w:p w:rsidR="009B4573" w:rsidRDefault="009B4573" w:rsidP="007771BE">
      <w:pPr>
        <w:spacing w:after="0"/>
        <w:rPr>
          <w:b/>
          <w:sz w:val="28"/>
          <w:szCs w:val="28"/>
        </w:rPr>
      </w:pPr>
    </w:p>
    <w:p w:rsidR="007771BE" w:rsidRPr="00DA2359" w:rsidRDefault="007771BE" w:rsidP="007771BE">
      <w:pPr>
        <w:spacing w:after="0"/>
        <w:rPr>
          <w:b/>
          <w:sz w:val="28"/>
          <w:szCs w:val="28"/>
        </w:rPr>
      </w:pPr>
      <w:r>
        <w:rPr>
          <w:b/>
          <w:sz w:val="28"/>
          <w:szCs w:val="28"/>
        </w:rPr>
        <w:t xml:space="preserve">5.  </w:t>
      </w:r>
      <w:r w:rsidR="00A3465C">
        <w:rPr>
          <w:b/>
          <w:sz w:val="28"/>
          <w:szCs w:val="28"/>
        </w:rPr>
        <w:t>Conclusions</w:t>
      </w:r>
    </w:p>
    <w:p w:rsidR="008A5E04" w:rsidRDefault="008A5E04" w:rsidP="00B11099">
      <w:pPr>
        <w:autoSpaceDE w:val="0"/>
        <w:autoSpaceDN w:val="0"/>
        <w:adjustRightInd w:val="0"/>
        <w:spacing w:after="0"/>
        <w:rPr>
          <w:rFonts w:cstheme="minorHAnsi"/>
        </w:rPr>
      </w:pPr>
    </w:p>
    <w:p w:rsidR="00D843B3" w:rsidRDefault="00D26F42" w:rsidP="0047354A">
      <w:pPr>
        <w:autoSpaceDE w:val="0"/>
        <w:autoSpaceDN w:val="0"/>
        <w:adjustRightInd w:val="0"/>
        <w:spacing w:after="0"/>
        <w:rPr>
          <w:rFonts w:cstheme="minorHAnsi"/>
        </w:rPr>
      </w:pPr>
      <w:r>
        <w:rPr>
          <w:rFonts w:cstheme="minorHAnsi"/>
        </w:rPr>
        <w:t xml:space="preserve">This </w:t>
      </w:r>
      <w:r w:rsidR="00E47C2B">
        <w:rPr>
          <w:rFonts w:cstheme="minorHAnsi"/>
        </w:rPr>
        <w:t xml:space="preserve">study </w:t>
      </w:r>
      <w:r w:rsidR="00152C75">
        <w:rPr>
          <w:rFonts w:cstheme="minorHAnsi"/>
        </w:rPr>
        <w:t>examined</w:t>
      </w:r>
      <w:r w:rsidR="00E47C2B">
        <w:rPr>
          <w:rFonts w:cstheme="minorHAnsi"/>
        </w:rPr>
        <w:t xml:space="preserve"> the baccalaureate origins of domestic Ph.D. students in </w:t>
      </w:r>
      <w:r w:rsidR="001E1999">
        <w:rPr>
          <w:rFonts w:cstheme="minorHAnsi"/>
        </w:rPr>
        <w:t>computer science</w:t>
      </w:r>
      <w:r w:rsidR="0047354A">
        <w:rPr>
          <w:rFonts w:cstheme="minorHAnsi"/>
        </w:rPr>
        <w:t xml:space="preserve">.  </w:t>
      </w:r>
      <w:r w:rsidR="001F328D">
        <w:rPr>
          <w:rFonts w:cstheme="minorHAnsi"/>
        </w:rPr>
        <w:t>Perhaps t</w:t>
      </w:r>
      <w:r w:rsidR="0047354A">
        <w:rPr>
          <w:rFonts w:cstheme="minorHAnsi"/>
        </w:rPr>
        <w:t xml:space="preserve">he single most striking finding is that a </w:t>
      </w:r>
      <w:r w:rsidR="0047354A" w:rsidRPr="0047354A">
        <w:rPr>
          <w:rFonts w:cstheme="minorHAnsi"/>
        </w:rPr>
        <w:t>small number of research universities and highly selective colleges</w:t>
      </w:r>
      <w:r w:rsidR="00E47C2B" w:rsidRPr="0047354A">
        <w:rPr>
          <w:rFonts w:cstheme="minorHAnsi"/>
        </w:rPr>
        <w:t xml:space="preserve"> </w:t>
      </w:r>
      <w:r w:rsidR="00877F5D" w:rsidRPr="0047354A">
        <w:rPr>
          <w:rFonts w:cstheme="minorHAnsi"/>
        </w:rPr>
        <w:t>are the</w:t>
      </w:r>
      <w:r w:rsidR="001F328D">
        <w:rPr>
          <w:rFonts w:cstheme="minorHAnsi"/>
        </w:rPr>
        <w:t xml:space="preserve"> undergraduate schools of origin for a </w:t>
      </w:r>
      <w:r w:rsidR="00E47C2B" w:rsidRPr="0047354A">
        <w:rPr>
          <w:rFonts w:cstheme="minorHAnsi"/>
        </w:rPr>
        <w:t xml:space="preserve">large fraction of domestic Ph.D. students </w:t>
      </w:r>
      <w:r w:rsidR="00877F5D" w:rsidRPr="0047354A">
        <w:rPr>
          <w:rFonts w:cstheme="minorHAnsi"/>
        </w:rPr>
        <w:t xml:space="preserve">and </w:t>
      </w:r>
      <w:r w:rsidR="00E47C2B" w:rsidRPr="0047354A">
        <w:rPr>
          <w:rFonts w:cstheme="minorHAnsi"/>
        </w:rPr>
        <w:t xml:space="preserve">NSF Graduate </w:t>
      </w:r>
      <w:r w:rsidR="00D843B3" w:rsidRPr="0047354A">
        <w:rPr>
          <w:rFonts w:cstheme="minorHAnsi"/>
        </w:rPr>
        <w:t>Research Fellowship recipients.</w:t>
      </w:r>
      <w:r w:rsidR="001F328D">
        <w:rPr>
          <w:rFonts w:cstheme="minorHAnsi"/>
        </w:rPr>
        <w:t xml:space="preserve">  However, a very large number of institutions send an average of between one and five students to graduate school each year and their impact on the domestic pipeline is important.</w:t>
      </w:r>
    </w:p>
    <w:p w:rsidR="0047354A" w:rsidRPr="001F328D" w:rsidRDefault="0047354A" w:rsidP="001F328D">
      <w:pPr>
        <w:autoSpaceDE w:val="0"/>
        <w:autoSpaceDN w:val="0"/>
        <w:adjustRightInd w:val="0"/>
        <w:spacing w:after="0"/>
        <w:rPr>
          <w:rFonts w:cstheme="minorHAnsi"/>
        </w:rPr>
      </w:pPr>
    </w:p>
    <w:p w:rsidR="0089005A" w:rsidRPr="00152C75" w:rsidRDefault="00F55527" w:rsidP="00152C75">
      <w:pPr>
        <w:autoSpaceDE w:val="0"/>
        <w:autoSpaceDN w:val="0"/>
        <w:adjustRightInd w:val="0"/>
        <w:spacing w:after="0"/>
        <w:rPr>
          <w:rFonts w:cstheme="minorHAnsi"/>
        </w:rPr>
      </w:pPr>
      <w:r>
        <w:rPr>
          <w:rFonts w:cstheme="minorHAnsi"/>
        </w:rPr>
        <w:t>These results suggest that the</w:t>
      </w:r>
      <w:r w:rsidR="00404786">
        <w:rPr>
          <w:rFonts w:cstheme="minorHAnsi"/>
        </w:rPr>
        <w:t>re are a number of opportunities for</w:t>
      </w:r>
      <w:r>
        <w:rPr>
          <w:rFonts w:cstheme="minorHAnsi"/>
        </w:rPr>
        <w:t xml:space="preserve"> increasing the number</w:t>
      </w:r>
      <w:r w:rsidR="001F328D">
        <w:rPr>
          <w:rFonts w:cstheme="minorHAnsi"/>
        </w:rPr>
        <w:t xml:space="preserve"> and quality</w:t>
      </w:r>
      <w:r>
        <w:rPr>
          <w:rFonts w:cstheme="minorHAnsi"/>
        </w:rPr>
        <w:t xml:space="preserve"> of domestic stud</w:t>
      </w:r>
      <w:r w:rsidR="00152C75">
        <w:rPr>
          <w:rFonts w:cstheme="minorHAnsi"/>
        </w:rPr>
        <w:t xml:space="preserve">ents going on to Ph.D. programs.  </w:t>
      </w:r>
      <w:r w:rsidR="00303BCF" w:rsidRPr="00152C75">
        <w:rPr>
          <w:rFonts w:cstheme="minorHAnsi"/>
        </w:rPr>
        <w:t>Master’s institutions appear to be</w:t>
      </w:r>
      <w:r w:rsidR="001F328D" w:rsidRPr="00152C75">
        <w:rPr>
          <w:rFonts w:cstheme="minorHAnsi"/>
        </w:rPr>
        <w:t xml:space="preserve"> an underutilized source of prospective graduate students. </w:t>
      </w:r>
      <w:r w:rsidR="00303BCF" w:rsidRPr="00152C75">
        <w:rPr>
          <w:rFonts w:cstheme="minorHAnsi"/>
        </w:rPr>
        <w:t>Efforts to encourage students from these schools to apply to graduate school could have a significant positive impact on the domestic pipeline.</w:t>
      </w:r>
      <w:r w:rsidR="00152C75">
        <w:rPr>
          <w:rFonts w:cstheme="minorHAnsi"/>
        </w:rPr>
        <w:t xml:space="preserve"> </w:t>
      </w:r>
      <w:r w:rsidR="00404786" w:rsidRPr="00152C75">
        <w:rPr>
          <w:rFonts w:cstheme="minorHAnsi"/>
        </w:rPr>
        <w:t xml:space="preserve">While some of the </w:t>
      </w:r>
      <w:r w:rsidR="0089005A" w:rsidRPr="00152C75">
        <w:rPr>
          <w:rFonts w:cstheme="minorHAnsi"/>
        </w:rPr>
        <w:t>most prolific</w:t>
      </w:r>
      <w:r w:rsidR="00404786" w:rsidRPr="00152C75">
        <w:rPr>
          <w:rFonts w:cstheme="minorHAnsi"/>
        </w:rPr>
        <w:t xml:space="preserve"> domestic producers are top-ranked institutions, many </w:t>
      </w:r>
      <w:r w:rsidR="0089005A" w:rsidRPr="00152C75">
        <w:rPr>
          <w:rFonts w:cstheme="minorHAnsi"/>
        </w:rPr>
        <w:t xml:space="preserve">remarkably successful institutions </w:t>
      </w:r>
      <w:r w:rsidR="00185187">
        <w:rPr>
          <w:rFonts w:cstheme="minorHAnsi"/>
        </w:rPr>
        <w:t xml:space="preserve">are smaller and/or less well </w:t>
      </w:r>
      <w:r w:rsidR="00404786" w:rsidRPr="00152C75">
        <w:rPr>
          <w:rFonts w:cstheme="minorHAnsi"/>
        </w:rPr>
        <w:t xml:space="preserve">known.  </w:t>
      </w:r>
      <w:r w:rsidR="00152C75">
        <w:rPr>
          <w:rFonts w:cstheme="minorHAnsi"/>
        </w:rPr>
        <w:t>I</w:t>
      </w:r>
      <w:r w:rsidR="00404786" w:rsidRPr="00152C75">
        <w:rPr>
          <w:rFonts w:cstheme="minorHAnsi"/>
        </w:rPr>
        <w:t>dentify</w:t>
      </w:r>
      <w:r w:rsidR="00152C75">
        <w:rPr>
          <w:rFonts w:cstheme="minorHAnsi"/>
        </w:rPr>
        <w:t>ing</w:t>
      </w:r>
      <w:r w:rsidR="00404786" w:rsidRPr="00152C75">
        <w:rPr>
          <w:rFonts w:cstheme="minorHAnsi"/>
        </w:rPr>
        <w:t xml:space="preserve"> </w:t>
      </w:r>
      <w:r w:rsidR="0089005A" w:rsidRPr="00152C75">
        <w:rPr>
          <w:rFonts w:cstheme="minorHAnsi"/>
        </w:rPr>
        <w:t>and dissemin</w:t>
      </w:r>
      <w:r w:rsidR="00152C75">
        <w:rPr>
          <w:rFonts w:cstheme="minorHAnsi"/>
        </w:rPr>
        <w:t>ating</w:t>
      </w:r>
      <w:r w:rsidR="0089005A" w:rsidRPr="00152C75">
        <w:rPr>
          <w:rFonts w:cstheme="minorHAnsi"/>
        </w:rPr>
        <w:t xml:space="preserve"> </w:t>
      </w:r>
      <w:r w:rsidR="00404786" w:rsidRPr="00152C75">
        <w:rPr>
          <w:rFonts w:cstheme="minorHAnsi"/>
        </w:rPr>
        <w:t>some of the</w:t>
      </w:r>
      <w:r w:rsidR="0089005A" w:rsidRPr="00152C75">
        <w:rPr>
          <w:rFonts w:cstheme="minorHAnsi"/>
        </w:rPr>
        <w:t xml:space="preserve"> feature</w:t>
      </w:r>
      <w:r w:rsidR="00152C75">
        <w:rPr>
          <w:rFonts w:cstheme="minorHAnsi"/>
        </w:rPr>
        <w:t>s of these successful producers can have a positive impact on the domestic Ph.D. pipeline.</w:t>
      </w:r>
    </w:p>
    <w:p w:rsidR="0089005A" w:rsidRDefault="0089005A" w:rsidP="0089005A">
      <w:pPr>
        <w:autoSpaceDE w:val="0"/>
        <w:autoSpaceDN w:val="0"/>
        <w:adjustRightInd w:val="0"/>
        <w:spacing w:after="0"/>
        <w:ind w:left="360"/>
        <w:rPr>
          <w:rFonts w:cstheme="minorHAnsi"/>
        </w:rPr>
      </w:pPr>
    </w:p>
    <w:p w:rsidR="0089005A" w:rsidRPr="0089005A" w:rsidRDefault="0089005A" w:rsidP="0089005A">
      <w:pPr>
        <w:autoSpaceDE w:val="0"/>
        <w:autoSpaceDN w:val="0"/>
        <w:adjustRightInd w:val="0"/>
        <w:spacing w:after="0"/>
        <w:rPr>
          <w:rFonts w:cstheme="minorHAnsi"/>
        </w:rPr>
      </w:pPr>
      <w:r>
        <w:rPr>
          <w:rFonts w:cstheme="minorHAnsi"/>
        </w:rPr>
        <w:t xml:space="preserve">This study did not explore recruiting and admissions practices and their potential impact on the production of domestic Ph.D. students.  A second article from </w:t>
      </w:r>
      <w:r w:rsidR="00152C75">
        <w:rPr>
          <w:rFonts w:cstheme="minorHAnsi"/>
        </w:rPr>
        <w:t xml:space="preserve">CRA-E </w:t>
      </w:r>
      <w:r>
        <w:rPr>
          <w:rFonts w:cstheme="minorHAnsi"/>
        </w:rPr>
        <w:t>will explore these phenomena and will appear in CRN in the near future.</w:t>
      </w:r>
    </w:p>
    <w:p w:rsidR="00B57670" w:rsidRDefault="00B57670" w:rsidP="00D34A96">
      <w:pPr>
        <w:spacing w:after="0"/>
        <w:rPr>
          <w:rFonts w:cstheme="minorHAnsi"/>
        </w:rPr>
      </w:pPr>
    </w:p>
    <w:p w:rsidR="00C522EF" w:rsidRDefault="00C522EF" w:rsidP="00D34A96">
      <w:pPr>
        <w:spacing w:after="0"/>
        <w:rPr>
          <w:rFonts w:cstheme="minorHAnsi"/>
        </w:rPr>
      </w:pPr>
    </w:p>
    <w:p w:rsidR="00C522EF" w:rsidRPr="00D34A96" w:rsidRDefault="00C522EF" w:rsidP="00D34A96">
      <w:pPr>
        <w:spacing w:after="0"/>
        <w:rPr>
          <w:rFonts w:cstheme="minorHAnsi"/>
        </w:rPr>
      </w:pPr>
    </w:p>
    <w:sectPr w:rsidR="00C522EF" w:rsidRPr="00D34A96" w:rsidSect="008973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19" w:rsidRDefault="00E62119" w:rsidP="0033143A">
      <w:pPr>
        <w:spacing w:after="0" w:line="240" w:lineRule="auto"/>
      </w:pPr>
      <w:r>
        <w:separator/>
      </w:r>
    </w:p>
  </w:endnote>
  <w:endnote w:type="continuationSeparator" w:id="0">
    <w:p w:rsidR="00E62119" w:rsidRDefault="00E62119" w:rsidP="00331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19" w:rsidRDefault="00E62119" w:rsidP="0033143A">
      <w:pPr>
        <w:spacing w:after="0" w:line="240" w:lineRule="auto"/>
      </w:pPr>
      <w:r>
        <w:separator/>
      </w:r>
    </w:p>
  </w:footnote>
  <w:footnote w:type="continuationSeparator" w:id="0">
    <w:p w:rsidR="00E62119" w:rsidRDefault="00E62119" w:rsidP="0033143A">
      <w:pPr>
        <w:spacing w:after="0" w:line="240" w:lineRule="auto"/>
      </w:pPr>
      <w:r>
        <w:continuationSeparator/>
      </w:r>
    </w:p>
  </w:footnote>
  <w:footnote w:id="1">
    <w:p w:rsidR="005F5365" w:rsidRPr="0031069E" w:rsidRDefault="005F5365">
      <w:pPr>
        <w:pStyle w:val="FootnoteText"/>
        <w:rPr>
          <w:sz w:val="16"/>
        </w:rPr>
      </w:pPr>
      <w:r>
        <w:rPr>
          <w:rStyle w:val="FootnoteReference"/>
        </w:rPr>
        <w:footnoteRef/>
      </w:r>
      <w:r>
        <w:t xml:space="preserve"> </w:t>
      </w:r>
      <w:r w:rsidRPr="0031069E">
        <w:rPr>
          <w:rFonts w:ascii="Calibri" w:hAnsi="Calibri"/>
          <w:color w:val="1F497D"/>
          <w:sz w:val="18"/>
          <w:szCs w:val="22"/>
        </w:rPr>
        <w:t>For the purposes of this study, the Frank W. Olin College of Engineering is considered a four-year college, and Rose-Hulman Institute of Technology is classified as a master's institution.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787"/>
      <w:docPartObj>
        <w:docPartGallery w:val="Page Numbers (Top of Page)"/>
        <w:docPartUnique/>
      </w:docPartObj>
    </w:sdtPr>
    <w:sdtContent>
      <w:p w:rsidR="00492B99" w:rsidRDefault="00B56045">
        <w:pPr>
          <w:pStyle w:val="Header"/>
          <w:jc w:val="right"/>
        </w:pPr>
        <w:r>
          <w:fldChar w:fldCharType="begin"/>
        </w:r>
        <w:r w:rsidR="00492B99">
          <w:instrText xml:space="preserve"> PAGE   \* MERGEFORMAT </w:instrText>
        </w:r>
        <w:r>
          <w:fldChar w:fldCharType="separate"/>
        </w:r>
        <w:r w:rsidR="00E62119">
          <w:rPr>
            <w:noProof/>
          </w:rPr>
          <w:t>1</w:t>
        </w:r>
        <w:r>
          <w:rPr>
            <w:noProof/>
          </w:rPr>
          <w:fldChar w:fldCharType="end"/>
        </w:r>
      </w:p>
    </w:sdtContent>
  </w:sdt>
  <w:p w:rsidR="00492B99" w:rsidRDefault="00492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A88"/>
    <w:multiLevelType w:val="hybridMultilevel"/>
    <w:tmpl w:val="EE2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5D1A9B"/>
    <w:multiLevelType w:val="hybridMultilevel"/>
    <w:tmpl w:val="D30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773A2"/>
    <w:multiLevelType w:val="hybridMultilevel"/>
    <w:tmpl w:val="C21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26A0"/>
    <w:multiLevelType w:val="hybridMultilevel"/>
    <w:tmpl w:val="072C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F7A26"/>
    <w:multiLevelType w:val="hybridMultilevel"/>
    <w:tmpl w:val="ACD620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C296A"/>
    <w:multiLevelType w:val="hybridMultilevel"/>
    <w:tmpl w:val="0A98D8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AB2C2F"/>
    <w:multiLevelType w:val="hybridMultilevel"/>
    <w:tmpl w:val="92B2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A1CE8"/>
    <w:multiLevelType w:val="hybridMultilevel"/>
    <w:tmpl w:val="6D80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B1E0B"/>
    <w:multiLevelType w:val="hybridMultilevel"/>
    <w:tmpl w:val="65AE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F3186"/>
    <w:multiLevelType w:val="hybridMultilevel"/>
    <w:tmpl w:val="423A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91E41"/>
    <w:multiLevelType w:val="hybridMultilevel"/>
    <w:tmpl w:val="F114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30117"/>
    <w:multiLevelType w:val="hybridMultilevel"/>
    <w:tmpl w:val="DF52E070"/>
    <w:lvl w:ilvl="0" w:tplc="08BC97CC">
      <w:start w:val="699"/>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73FCA"/>
    <w:multiLevelType w:val="hybridMultilevel"/>
    <w:tmpl w:val="EA0A2854"/>
    <w:lvl w:ilvl="0" w:tplc="08BC97CC">
      <w:start w:val="699"/>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nsid w:val="550F72B5"/>
    <w:multiLevelType w:val="hybridMultilevel"/>
    <w:tmpl w:val="A41A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AF3299"/>
    <w:multiLevelType w:val="hybridMultilevel"/>
    <w:tmpl w:val="8AAC80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91EBF"/>
    <w:multiLevelType w:val="hybridMultilevel"/>
    <w:tmpl w:val="5358D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B1957"/>
    <w:multiLevelType w:val="hybridMultilevel"/>
    <w:tmpl w:val="A524C47C"/>
    <w:lvl w:ilvl="0" w:tplc="5B0EB81A">
      <w:start w:val="1"/>
      <w:numFmt w:val="bullet"/>
      <w:lvlText w:val="•"/>
      <w:lvlJc w:val="left"/>
      <w:pPr>
        <w:tabs>
          <w:tab w:val="num" w:pos="720"/>
        </w:tabs>
        <w:ind w:left="720" w:hanging="360"/>
      </w:pPr>
      <w:rPr>
        <w:rFonts w:ascii="Arial" w:hAnsi="Arial" w:hint="default"/>
      </w:rPr>
    </w:lvl>
    <w:lvl w:ilvl="1" w:tplc="3ED2860C" w:tentative="1">
      <w:start w:val="1"/>
      <w:numFmt w:val="bullet"/>
      <w:lvlText w:val="•"/>
      <w:lvlJc w:val="left"/>
      <w:pPr>
        <w:tabs>
          <w:tab w:val="num" w:pos="1440"/>
        </w:tabs>
        <w:ind w:left="1440" w:hanging="360"/>
      </w:pPr>
      <w:rPr>
        <w:rFonts w:ascii="Arial" w:hAnsi="Arial" w:hint="default"/>
      </w:rPr>
    </w:lvl>
    <w:lvl w:ilvl="2" w:tplc="DB8039EA" w:tentative="1">
      <w:start w:val="1"/>
      <w:numFmt w:val="bullet"/>
      <w:lvlText w:val="•"/>
      <w:lvlJc w:val="left"/>
      <w:pPr>
        <w:tabs>
          <w:tab w:val="num" w:pos="2160"/>
        </w:tabs>
        <w:ind w:left="2160" w:hanging="360"/>
      </w:pPr>
      <w:rPr>
        <w:rFonts w:ascii="Arial" w:hAnsi="Arial" w:hint="default"/>
      </w:rPr>
    </w:lvl>
    <w:lvl w:ilvl="3" w:tplc="4A9493C2" w:tentative="1">
      <w:start w:val="1"/>
      <w:numFmt w:val="bullet"/>
      <w:lvlText w:val="•"/>
      <w:lvlJc w:val="left"/>
      <w:pPr>
        <w:tabs>
          <w:tab w:val="num" w:pos="2880"/>
        </w:tabs>
        <w:ind w:left="2880" w:hanging="360"/>
      </w:pPr>
      <w:rPr>
        <w:rFonts w:ascii="Arial" w:hAnsi="Arial" w:hint="default"/>
      </w:rPr>
    </w:lvl>
    <w:lvl w:ilvl="4" w:tplc="F9804520" w:tentative="1">
      <w:start w:val="1"/>
      <w:numFmt w:val="bullet"/>
      <w:lvlText w:val="•"/>
      <w:lvlJc w:val="left"/>
      <w:pPr>
        <w:tabs>
          <w:tab w:val="num" w:pos="3600"/>
        </w:tabs>
        <w:ind w:left="3600" w:hanging="360"/>
      </w:pPr>
      <w:rPr>
        <w:rFonts w:ascii="Arial" w:hAnsi="Arial" w:hint="default"/>
      </w:rPr>
    </w:lvl>
    <w:lvl w:ilvl="5" w:tplc="3EF00930" w:tentative="1">
      <w:start w:val="1"/>
      <w:numFmt w:val="bullet"/>
      <w:lvlText w:val="•"/>
      <w:lvlJc w:val="left"/>
      <w:pPr>
        <w:tabs>
          <w:tab w:val="num" w:pos="4320"/>
        </w:tabs>
        <w:ind w:left="4320" w:hanging="360"/>
      </w:pPr>
      <w:rPr>
        <w:rFonts w:ascii="Arial" w:hAnsi="Arial" w:hint="default"/>
      </w:rPr>
    </w:lvl>
    <w:lvl w:ilvl="6" w:tplc="E7D6861C" w:tentative="1">
      <w:start w:val="1"/>
      <w:numFmt w:val="bullet"/>
      <w:lvlText w:val="•"/>
      <w:lvlJc w:val="left"/>
      <w:pPr>
        <w:tabs>
          <w:tab w:val="num" w:pos="5040"/>
        </w:tabs>
        <w:ind w:left="5040" w:hanging="360"/>
      </w:pPr>
      <w:rPr>
        <w:rFonts w:ascii="Arial" w:hAnsi="Arial" w:hint="default"/>
      </w:rPr>
    </w:lvl>
    <w:lvl w:ilvl="7" w:tplc="4AD8A836" w:tentative="1">
      <w:start w:val="1"/>
      <w:numFmt w:val="bullet"/>
      <w:lvlText w:val="•"/>
      <w:lvlJc w:val="left"/>
      <w:pPr>
        <w:tabs>
          <w:tab w:val="num" w:pos="5760"/>
        </w:tabs>
        <w:ind w:left="5760" w:hanging="360"/>
      </w:pPr>
      <w:rPr>
        <w:rFonts w:ascii="Arial" w:hAnsi="Arial" w:hint="default"/>
      </w:rPr>
    </w:lvl>
    <w:lvl w:ilvl="8" w:tplc="B76C3218" w:tentative="1">
      <w:start w:val="1"/>
      <w:numFmt w:val="bullet"/>
      <w:lvlText w:val="•"/>
      <w:lvlJc w:val="left"/>
      <w:pPr>
        <w:tabs>
          <w:tab w:val="num" w:pos="6480"/>
        </w:tabs>
        <w:ind w:left="6480" w:hanging="360"/>
      </w:pPr>
      <w:rPr>
        <w:rFonts w:ascii="Arial" w:hAnsi="Arial" w:hint="default"/>
      </w:rPr>
    </w:lvl>
  </w:abstractNum>
  <w:abstractNum w:abstractNumId="17">
    <w:nsid w:val="780D4DD8"/>
    <w:multiLevelType w:val="hybridMultilevel"/>
    <w:tmpl w:val="A2D2F358"/>
    <w:lvl w:ilvl="0" w:tplc="D864F82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8BC97CC">
      <w:start w:val="699"/>
      <w:numFmt w:val="bullet"/>
      <w:lvlText w:val="•"/>
      <w:lvlJc w:val="left"/>
      <w:pPr>
        <w:tabs>
          <w:tab w:val="num" w:pos="2160"/>
        </w:tabs>
        <w:ind w:left="2160" w:hanging="360"/>
      </w:pPr>
      <w:rPr>
        <w:rFonts w:ascii="Arial" w:hAnsi="Arial" w:hint="default"/>
      </w:rPr>
    </w:lvl>
    <w:lvl w:ilvl="3" w:tplc="0D503BFA" w:tentative="1">
      <w:start w:val="1"/>
      <w:numFmt w:val="bullet"/>
      <w:lvlText w:val="•"/>
      <w:lvlJc w:val="left"/>
      <w:pPr>
        <w:tabs>
          <w:tab w:val="num" w:pos="2880"/>
        </w:tabs>
        <w:ind w:left="2880" w:hanging="360"/>
      </w:pPr>
      <w:rPr>
        <w:rFonts w:ascii="Arial" w:hAnsi="Arial" w:hint="default"/>
      </w:rPr>
    </w:lvl>
    <w:lvl w:ilvl="4" w:tplc="64CC78AC" w:tentative="1">
      <w:start w:val="1"/>
      <w:numFmt w:val="bullet"/>
      <w:lvlText w:val="•"/>
      <w:lvlJc w:val="left"/>
      <w:pPr>
        <w:tabs>
          <w:tab w:val="num" w:pos="3600"/>
        </w:tabs>
        <w:ind w:left="3600" w:hanging="360"/>
      </w:pPr>
      <w:rPr>
        <w:rFonts w:ascii="Arial" w:hAnsi="Arial" w:hint="default"/>
      </w:rPr>
    </w:lvl>
    <w:lvl w:ilvl="5" w:tplc="E6F0234A" w:tentative="1">
      <w:start w:val="1"/>
      <w:numFmt w:val="bullet"/>
      <w:lvlText w:val="•"/>
      <w:lvlJc w:val="left"/>
      <w:pPr>
        <w:tabs>
          <w:tab w:val="num" w:pos="4320"/>
        </w:tabs>
        <w:ind w:left="4320" w:hanging="360"/>
      </w:pPr>
      <w:rPr>
        <w:rFonts w:ascii="Arial" w:hAnsi="Arial" w:hint="default"/>
      </w:rPr>
    </w:lvl>
    <w:lvl w:ilvl="6" w:tplc="4B74283C" w:tentative="1">
      <w:start w:val="1"/>
      <w:numFmt w:val="bullet"/>
      <w:lvlText w:val="•"/>
      <w:lvlJc w:val="left"/>
      <w:pPr>
        <w:tabs>
          <w:tab w:val="num" w:pos="5040"/>
        </w:tabs>
        <w:ind w:left="5040" w:hanging="360"/>
      </w:pPr>
      <w:rPr>
        <w:rFonts w:ascii="Arial" w:hAnsi="Arial" w:hint="default"/>
      </w:rPr>
    </w:lvl>
    <w:lvl w:ilvl="7" w:tplc="D97CFA94" w:tentative="1">
      <w:start w:val="1"/>
      <w:numFmt w:val="bullet"/>
      <w:lvlText w:val="•"/>
      <w:lvlJc w:val="left"/>
      <w:pPr>
        <w:tabs>
          <w:tab w:val="num" w:pos="5760"/>
        </w:tabs>
        <w:ind w:left="5760" w:hanging="360"/>
      </w:pPr>
      <w:rPr>
        <w:rFonts w:ascii="Arial" w:hAnsi="Arial" w:hint="default"/>
      </w:rPr>
    </w:lvl>
    <w:lvl w:ilvl="8" w:tplc="8160BA84" w:tentative="1">
      <w:start w:val="1"/>
      <w:numFmt w:val="bullet"/>
      <w:lvlText w:val="•"/>
      <w:lvlJc w:val="left"/>
      <w:pPr>
        <w:tabs>
          <w:tab w:val="num" w:pos="6480"/>
        </w:tabs>
        <w:ind w:left="6480" w:hanging="360"/>
      </w:pPr>
      <w:rPr>
        <w:rFonts w:ascii="Arial" w:hAnsi="Arial" w:hint="default"/>
      </w:rPr>
    </w:lvl>
  </w:abstractNum>
  <w:abstractNum w:abstractNumId="18">
    <w:nsid w:val="7A2B1A0B"/>
    <w:multiLevelType w:val="hybridMultilevel"/>
    <w:tmpl w:val="501480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F21074"/>
    <w:multiLevelType w:val="hybridMultilevel"/>
    <w:tmpl w:val="D9FE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CD083A"/>
    <w:multiLevelType w:val="hybridMultilevel"/>
    <w:tmpl w:val="988A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0"/>
  </w:num>
  <w:num w:numId="4">
    <w:abstractNumId w:val="7"/>
  </w:num>
  <w:num w:numId="5">
    <w:abstractNumId w:val="15"/>
  </w:num>
  <w:num w:numId="6">
    <w:abstractNumId w:val="10"/>
  </w:num>
  <w:num w:numId="7">
    <w:abstractNumId w:val="16"/>
  </w:num>
  <w:num w:numId="8">
    <w:abstractNumId w:val="6"/>
  </w:num>
  <w:num w:numId="9">
    <w:abstractNumId w:val="19"/>
  </w:num>
  <w:num w:numId="10">
    <w:abstractNumId w:val="1"/>
  </w:num>
  <w:num w:numId="11">
    <w:abstractNumId w:val="11"/>
  </w:num>
  <w:num w:numId="12">
    <w:abstractNumId w:val="12"/>
  </w:num>
  <w:num w:numId="13">
    <w:abstractNumId w:val="4"/>
  </w:num>
  <w:num w:numId="14">
    <w:abstractNumId w:val="14"/>
  </w:num>
  <w:num w:numId="15">
    <w:abstractNumId w:val="5"/>
  </w:num>
  <w:num w:numId="16">
    <w:abstractNumId w:val="9"/>
  </w:num>
  <w:num w:numId="17">
    <w:abstractNumId w:val="13"/>
  </w:num>
  <w:num w:numId="18">
    <w:abstractNumId w:val="2"/>
  </w:num>
  <w:num w:numId="19">
    <w:abstractNumId w:val="3"/>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defaultTabStop w:val="720"/>
  <w:characterSpacingControl w:val="doNotCompress"/>
  <w:savePreviewPicture/>
  <w:footnotePr>
    <w:footnote w:id="-1"/>
    <w:footnote w:id="0"/>
  </w:footnotePr>
  <w:endnotePr>
    <w:endnote w:id="-1"/>
    <w:endnote w:id="0"/>
  </w:endnotePr>
  <w:compat/>
  <w:rsids>
    <w:rsidRoot w:val="00317699"/>
    <w:rsid w:val="000022C9"/>
    <w:rsid w:val="00006493"/>
    <w:rsid w:val="000458F3"/>
    <w:rsid w:val="000556BA"/>
    <w:rsid w:val="00066AA3"/>
    <w:rsid w:val="000711B9"/>
    <w:rsid w:val="00080494"/>
    <w:rsid w:val="000827BF"/>
    <w:rsid w:val="00096BBF"/>
    <w:rsid w:val="000A3396"/>
    <w:rsid w:val="000A4749"/>
    <w:rsid w:val="000A6F9F"/>
    <w:rsid w:val="000B3878"/>
    <w:rsid w:val="000E1F39"/>
    <w:rsid w:val="000F7CDF"/>
    <w:rsid w:val="00102F18"/>
    <w:rsid w:val="00127FFA"/>
    <w:rsid w:val="001462AA"/>
    <w:rsid w:val="00152C75"/>
    <w:rsid w:val="00161CDB"/>
    <w:rsid w:val="00167F0C"/>
    <w:rsid w:val="001746E8"/>
    <w:rsid w:val="00174F61"/>
    <w:rsid w:val="00185187"/>
    <w:rsid w:val="00186CF3"/>
    <w:rsid w:val="00190E5C"/>
    <w:rsid w:val="001A53AA"/>
    <w:rsid w:val="001B7EAA"/>
    <w:rsid w:val="001C085E"/>
    <w:rsid w:val="001C7019"/>
    <w:rsid w:val="001D0E35"/>
    <w:rsid w:val="001D19C2"/>
    <w:rsid w:val="001E0D90"/>
    <w:rsid w:val="001E1999"/>
    <w:rsid w:val="001E4459"/>
    <w:rsid w:val="001F2D50"/>
    <w:rsid w:val="001F328D"/>
    <w:rsid w:val="001F715E"/>
    <w:rsid w:val="00204A08"/>
    <w:rsid w:val="002154D7"/>
    <w:rsid w:val="0022052C"/>
    <w:rsid w:val="0022103D"/>
    <w:rsid w:val="00237588"/>
    <w:rsid w:val="00242BA7"/>
    <w:rsid w:val="0026415E"/>
    <w:rsid w:val="002768BC"/>
    <w:rsid w:val="00280681"/>
    <w:rsid w:val="00284A3F"/>
    <w:rsid w:val="002870A4"/>
    <w:rsid w:val="00290634"/>
    <w:rsid w:val="002A697B"/>
    <w:rsid w:val="002B2F44"/>
    <w:rsid w:val="002C7D3E"/>
    <w:rsid w:val="002D0CC1"/>
    <w:rsid w:val="002D2ECA"/>
    <w:rsid w:val="002E1AE8"/>
    <w:rsid w:val="002E2C52"/>
    <w:rsid w:val="002E4820"/>
    <w:rsid w:val="002E5C1F"/>
    <w:rsid w:val="002E66BF"/>
    <w:rsid w:val="002F0B19"/>
    <w:rsid w:val="002F1DFE"/>
    <w:rsid w:val="002F2049"/>
    <w:rsid w:val="00303BCF"/>
    <w:rsid w:val="00307551"/>
    <w:rsid w:val="0031069E"/>
    <w:rsid w:val="00311500"/>
    <w:rsid w:val="00312A2C"/>
    <w:rsid w:val="00313D73"/>
    <w:rsid w:val="00317699"/>
    <w:rsid w:val="00317B99"/>
    <w:rsid w:val="0032394D"/>
    <w:rsid w:val="00323D82"/>
    <w:rsid w:val="00330A96"/>
    <w:rsid w:val="0033143A"/>
    <w:rsid w:val="00341F8C"/>
    <w:rsid w:val="00347C74"/>
    <w:rsid w:val="0036254B"/>
    <w:rsid w:val="00364CB2"/>
    <w:rsid w:val="003745C4"/>
    <w:rsid w:val="003775A1"/>
    <w:rsid w:val="003907E9"/>
    <w:rsid w:val="003A3671"/>
    <w:rsid w:val="003B05F3"/>
    <w:rsid w:val="003C08B1"/>
    <w:rsid w:val="003C3CE4"/>
    <w:rsid w:val="003C589C"/>
    <w:rsid w:val="003D5EBE"/>
    <w:rsid w:val="003E67F5"/>
    <w:rsid w:val="003F47B3"/>
    <w:rsid w:val="003F5649"/>
    <w:rsid w:val="00404786"/>
    <w:rsid w:val="004059E2"/>
    <w:rsid w:val="0040674A"/>
    <w:rsid w:val="00422355"/>
    <w:rsid w:val="004502D3"/>
    <w:rsid w:val="004546CD"/>
    <w:rsid w:val="00465375"/>
    <w:rsid w:val="0046540D"/>
    <w:rsid w:val="0047354A"/>
    <w:rsid w:val="00492B99"/>
    <w:rsid w:val="004A247B"/>
    <w:rsid w:val="004B0018"/>
    <w:rsid w:val="004E5640"/>
    <w:rsid w:val="004F4783"/>
    <w:rsid w:val="00503FF3"/>
    <w:rsid w:val="005043FC"/>
    <w:rsid w:val="00511483"/>
    <w:rsid w:val="00523FE0"/>
    <w:rsid w:val="005322F2"/>
    <w:rsid w:val="00535B34"/>
    <w:rsid w:val="00542745"/>
    <w:rsid w:val="0054417F"/>
    <w:rsid w:val="00544AF5"/>
    <w:rsid w:val="005546D8"/>
    <w:rsid w:val="00557E6A"/>
    <w:rsid w:val="00567563"/>
    <w:rsid w:val="005817A1"/>
    <w:rsid w:val="00582A7D"/>
    <w:rsid w:val="00591917"/>
    <w:rsid w:val="005A46D1"/>
    <w:rsid w:val="005B6891"/>
    <w:rsid w:val="005C34DB"/>
    <w:rsid w:val="005D4CC5"/>
    <w:rsid w:val="005E2D66"/>
    <w:rsid w:val="005F28DC"/>
    <w:rsid w:val="005F5365"/>
    <w:rsid w:val="00605C32"/>
    <w:rsid w:val="0062763A"/>
    <w:rsid w:val="00634E97"/>
    <w:rsid w:val="006373B9"/>
    <w:rsid w:val="006709F3"/>
    <w:rsid w:val="00675CC5"/>
    <w:rsid w:val="0068006F"/>
    <w:rsid w:val="00681D5B"/>
    <w:rsid w:val="006828F8"/>
    <w:rsid w:val="00683FDD"/>
    <w:rsid w:val="006851DB"/>
    <w:rsid w:val="00685CEC"/>
    <w:rsid w:val="00687215"/>
    <w:rsid w:val="00690F44"/>
    <w:rsid w:val="006A4C52"/>
    <w:rsid w:val="006A617A"/>
    <w:rsid w:val="006B3A72"/>
    <w:rsid w:val="006C1DB3"/>
    <w:rsid w:val="006C2C5E"/>
    <w:rsid w:val="006E263E"/>
    <w:rsid w:val="006E5EC4"/>
    <w:rsid w:val="006E6458"/>
    <w:rsid w:val="006E7FC0"/>
    <w:rsid w:val="006F5BFF"/>
    <w:rsid w:val="0070279C"/>
    <w:rsid w:val="00757A1B"/>
    <w:rsid w:val="00763A39"/>
    <w:rsid w:val="007668E3"/>
    <w:rsid w:val="007771BE"/>
    <w:rsid w:val="00786B62"/>
    <w:rsid w:val="00790977"/>
    <w:rsid w:val="007A30FD"/>
    <w:rsid w:val="007B7795"/>
    <w:rsid w:val="007C17DB"/>
    <w:rsid w:val="007C76EB"/>
    <w:rsid w:val="007E1781"/>
    <w:rsid w:val="007E62E3"/>
    <w:rsid w:val="00807793"/>
    <w:rsid w:val="00810B8E"/>
    <w:rsid w:val="00811D57"/>
    <w:rsid w:val="00812088"/>
    <w:rsid w:val="0083365A"/>
    <w:rsid w:val="00845942"/>
    <w:rsid w:val="008612EE"/>
    <w:rsid w:val="00873DA1"/>
    <w:rsid w:val="00877F5D"/>
    <w:rsid w:val="00886A83"/>
    <w:rsid w:val="0089005A"/>
    <w:rsid w:val="00897319"/>
    <w:rsid w:val="008A5699"/>
    <w:rsid w:val="008A5E04"/>
    <w:rsid w:val="008B13BD"/>
    <w:rsid w:val="008D303B"/>
    <w:rsid w:val="008E07EC"/>
    <w:rsid w:val="00911BD5"/>
    <w:rsid w:val="00933390"/>
    <w:rsid w:val="00951402"/>
    <w:rsid w:val="00955CC5"/>
    <w:rsid w:val="009750B5"/>
    <w:rsid w:val="00981226"/>
    <w:rsid w:val="00985C07"/>
    <w:rsid w:val="0099010B"/>
    <w:rsid w:val="009A5084"/>
    <w:rsid w:val="009B3CAB"/>
    <w:rsid w:val="009B4573"/>
    <w:rsid w:val="009C6E11"/>
    <w:rsid w:val="009D41D5"/>
    <w:rsid w:val="009D6292"/>
    <w:rsid w:val="009E1813"/>
    <w:rsid w:val="009E26F8"/>
    <w:rsid w:val="00A100AD"/>
    <w:rsid w:val="00A12115"/>
    <w:rsid w:val="00A2559A"/>
    <w:rsid w:val="00A3465C"/>
    <w:rsid w:val="00A34739"/>
    <w:rsid w:val="00A3514F"/>
    <w:rsid w:val="00A41F5B"/>
    <w:rsid w:val="00A47468"/>
    <w:rsid w:val="00A71A07"/>
    <w:rsid w:val="00A80E4E"/>
    <w:rsid w:val="00A8239B"/>
    <w:rsid w:val="00A97B05"/>
    <w:rsid w:val="00AB2F73"/>
    <w:rsid w:val="00AD22B0"/>
    <w:rsid w:val="00AE1EC6"/>
    <w:rsid w:val="00B07128"/>
    <w:rsid w:val="00B11099"/>
    <w:rsid w:val="00B26D8F"/>
    <w:rsid w:val="00B3032B"/>
    <w:rsid w:val="00B33862"/>
    <w:rsid w:val="00B40112"/>
    <w:rsid w:val="00B56045"/>
    <w:rsid w:val="00B57670"/>
    <w:rsid w:val="00B636B5"/>
    <w:rsid w:val="00B95B0B"/>
    <w:rsid w:val="00B97FE3"/>
    <w:rsid w:val="00BB3BA4"/>
    <w:rsid w:val="00BB6EAE"/>
    <w:rsid w:val="00BC2118"/>
    <w:rsid w:val="00BC77AA"/>
    <w:rsid w:val="00BC7813"/>
    <w:rsid w:val="00BD0ADF"/>
    <w:rsid w:val="00BD0AE0"/>
    <w:rsid w:val="00BD4050"/>
    <w:rsid w:val="00BD60DD"/>
    <w:rsid w:val="00BE49AD"/>
    <w:rsid w:val="00BE51AD"/>
    <w:rsid w:val="00BF25FD"/>
    <w:rsid w:val="00BF67C3"/>
    <w:rsid w:val="00BF7571"/>
    <w:rsid w:val="00BF7B94"/>
    <w:rsid w:val="00C014D2"/>
    <w:rsid w:val="00C11369"/>
    <w:rsid w:val="00C27055"/>
    <w:rsid w:val="00C3274D"/>
    <w:rsid w:val="00C522EF"/>
    <w:rsid w:val="00C53A7D"/>
    <w:rsid w:val="00C55B5C"/>
    <w:rsid w:val="00C640B2"/>
    <w:rsid w:val="00C7600B"/>
    <w:rsid w:val="00C7785E"/>
    <w:rsid w:val="00C84FF9"/>
    <w:rsid w:val="00C935BB"/>
    <w:rsid w:val="00CA280E"/>
    <w:rsid w:val="00CA7CF6"/>
    <w:rsid w:val="00CB0459"/>
    <w:rsid w:val="00CC25B4"/>
    <w:rsid w:val="00CE11DB"/>
    <w:rsid w:val="00CE230C"/>
    <w:rsid w:val="00CE4E5A"/>
    <w:rsid w:val="00CE6CED"/>
    <w:rsid w:val="00CF7655"/>
    <w:rsid w:val="00D01497"/>
    <w:rsid w:val="00D11184"/>
    <w:rsid w:val="00D22F46"/>
    <w:rsid w:val="00D26F42"/>
    <w:rsid w:val="00D30811"/>
    <w:rsid w:val="00D34A96"/>
    <w:rsid w:val="00D74AEE"/>
    <w:rsid w:val="00D8095D"/>
    <w:rsid w:val="00D83ACF"/>
    <w:rsid w:val="00D843B3"/>
    <w:rsid w:val="00D85A3B"/>
    <w:rsid w:val="00DA2359"/>
    <w:rsid w:val="00DA50F3"/>
    <w:rsid w:val="00DC2CF6"/>
    <w:rsid w:val="00DC6502"/>
    <w:rsid w:val="00DC70CB"/>
    <w:rsid w:val="00DD6D57"/>
    <w:rsid w:val="00DD71BB"/>
    <w:rsid w:val="00DE46E6"/>
    <w:rsid w:val="00DE673C"/>
    <w:rsid w:val="00DE68CC"/>
    <w:rsid w:val="00E01FE9"/>
    <w:rsid w:val="00E05FE2"/>
    <w:rsid w:val="00E34821"/>
    <w:rsid w:val="00E41BFD"/>
    <w:rsid w:val="00E47C2B"/>
    <w:rsid w:val="00E532F4"/>
    <w:rsid w:val="00E53CCD"/>
    <w:rsid w:val="00E556D9"/>
    <w:rsid w:val="00E62119"/>
    <w:rsid w:val="00E77020"/>
    <w:rsid w:val="00E804AE"/>
    <w:rsid w:val="00E81CAB"/>
    <w:rsid w:val="00E83747"/>
    <w:rsid w:val="00EB7781"/>
    <w:rsid w:val="00EC2076"/>
    <w:rsid w:val="00EC21D8"/>
    <w:rsid w:val="00EC3819"/>
    <w:rsid w:val="00ED7357"/>
    <w:rsid w:val="00EE3FCB"/>
    <w:rsid w:val="00EE6FD3"/>
    <w:rsid w:val="00F01BE3"/>
    <w:rsid w:val="00F43A27"/>
    <w:rsid w:val="00F55527"/>
    <w:rsid w:val="00F608F9"/>
    <w:rsid w:val="00F60CAD"/>
    <w:rsid w:val="00F6401F"/>
    <w:rsid w:val="00F648F3"/>
    <w:rsid w:val="00F81330"/>
    <w:rsid w:val="00FA565C"/>
    <w:rsid w:val="00FB6BE2"/>
    <w:rsid w:val="00FC1489"/>
    <w:rsid w:val="00FD19A2"/>
    <w:rsid w:val="00FD595A"/>
    <w:rsid w:val="00FF4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A"/>
  </w:style>
  <w:style w:type="paragraph" w:styleId="Heading1">
    <w:name w:val="heading 1"/>
    <w:basedOn w:val="Normal"/>
    <w:next w:val="Normal"/>
    <w:link w:val="Heading1Char"/>
    <w:uiPriority w:val="9"/>
    <w:qFormat/>
    <w:rsid w:val="00DA23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84"/>
    <w:pPr>
      <w:ind w:left="720"/>
      <w:contextualSpacing/>
    </w:pPr>
  </w:style>
  <w:style w:type="character" w:styleId="Hyperlink">
    <w:name w:val="Hyperlink"/>
    <w:basedOn w:val="DefaultParagraphFont"/>
    <w:uiPriority w:val="99"/>
    <w:unhideWhenUsed/>
    <w:rsid w:val="00F01BE3"/>
    <w:rPr>
      <w:color w:val="0000FF" w:themeColor="hyperlink"/>
      <w:u w:val="single"/>
    </w:rPr>
  </w:style>
  <w:style w:type="paragraph" w:styleId="NormalWeb">
    <w:name w:val="Normal (Web)"/>
    <w:basedOn w:val="Normal"/>
    <w:uiPriority w:val="99"/>
    <w:unhideWhenUsed/>
    <w:rsid w:val="00C778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3A"/>
  </w:style>
  <w:style w:type="paragraph" w:styleId="Footer">
    <w:name w:val="footer"/>
    <w:basedOn w:val="Normal"/>
    <w:link w:val="FooterChar"/>
    <w:uiPriority w:val="99"/>
    <w:unhideWhenUsed/>
    <w:rsid w:val="0033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3A"/>
  </w:style>
  <w:style w:type="character" w:styleId="FollowedHyperlink">
    <w:name w:val="FollowedHyperlink"/>
    <w:basedOn w:val="DefaultParagraphFont"/>
    <w:uiPriority w:val="99"/>
    <w:semiHidden/>
    <w:unhideWhenUsed/>
    <w:rsid w:val="00BF7B94"/>
    <w:rPr>
      <w:color w:val="800080" w:themeColor="followedHyperlink"/>
      <w:u w:val="single"/>
    </w:rPr>
  </w:style>
  <w:style w:type="paragraph" w:styleId="BalloonText">
    <w:name w:val="Balloon Text"/>
    <w:basedOn w:val="Normal"/>
    <w:link w:val="BalloonTextChar"/>
    <w:uiPriority w:val="99"/>
    <w:semiHidden/>
    <w:unhideWhenUsed/>
    <w:rsid w:val="00BF7B9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F7B94"/>
    <w:rPr>
      <w:rFonts w:ascii="Lucida Grande" w:hAnsi="Lucida Grande"/>
      <w:sz w:val="18"/>
      <w:szCs w:val="18"/>
    </w:rPr>
  </w:style>
  <w:style w:type="character" w:customStyle="1" w:styleId="Heading1Char">
    <w:name w:val="Heading 1 Char"/>
    <w:basedOn w:val="DefaultParagraphFont"/>
    <w:link w:val="Heading1"/>
    <w:uiPriority w:val="9"/>
    <w:rsid w:val="00DA235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A2359"/>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DA2359"/>
    <w:pPr>
      <w:spacing w:before="240" w:after="120"/>
    </w:pPr>
    <w:rPr>
      <w:b/>
      <w:caps/>
      <w:u w:val="single"/>
    </w:rPr>
  </w:style>
  <w:style w:type="paragraph" w:styleId="TOC2">
    <w:name w:val="toc 2"/>
    <w:basedOn w:val="Normal"/>
    <w:next w:val="Normal"/>
    <w:autoRedefine/>
    <w:uiPriority w:val="39"/>
    <w:semiHidden/>
    <w:unhideWhenUsed/>
    <w:rsid w:val="00DA2359"/>
    <w:pPr>
      <w:spacing w:after="0"/>
    </w:pPr>
    <w:rPr>
      <w:b/>
      <w:smallCaps/>
    </w:rPr>
  </w:style>
  <w:style w:type="paragraph" w:styleId="TOC3">
    <w:name w:val="toc 3"/>
    <w:basedOn w:val="Normal"/>
    <w:next w:val="Normal"/>
    <w:autoRedefine/>
    <w:uiPriority w:val="39"/>
    <w:semiHidden/>
    <w:unhideWhenUsed/>
    <w:rsid w:val="00DA2359"/>
    <w:pPr>
      <w:spacing w:after="0"/>
    </w:pPr>
    <w:rPr>
      <w:smallCaps/>
    </w:rPr>
  </w:style>
  <w:style w:type="paragraph" w:styleId="TOC4">
    <w:name w:val="toc 4"/>
    <w:basedOn w:val="Normal"/>
    <w:next w:val="Normal"/>
    <w:autoRedefine/>
    <w:uiPriority w:val="39"/>
    <w:semiHidden/>
    <w:unhideWhenUsed/>
    <w:rsid w:val="00DA2359"/>
    <w:pPr>
      <w:spacing w:after="0"/>
    </w:pPr>
  </w:style>
  <w:style w:type="paragraph" w:styleId="TOC5">
    <w:name w:val="toc 5"/>
    <w:basedOn w:val="Normal"/>
    <w:next w:val="Normal"/>
    <w:autoRedefine/>
    <w:uiPriority w:val="39"/>
    <w:semiHidden/>
    <w:unhideWhenUsed/>
    <w:rsid w:val="00DA2359"/>
    <w:pPr>
      <w:spacing w:after="0"/>
    </w:pPr>
  </w:style>
  <w:style w:type="paragraph" w:styleId="TOC6">
    <w:name w:val="toc 6"/>
    <w:basedOn w:val="Normal"/>
    <w:next w:val="Normal"/>
    <w:autoRedefine/>
    <w:uiPriority w:val="39"/>
    <w:semiHidden/>
    <w:unhideWhenUsed/>
    <w:rsid w:val="00DA2359"/>
    <w:pPr>
      <w:spacing w:after="0"/>
    </w:pPr>
  </w:style>
  <w:style w:type="paragraph" w:styleId="TOC7">
    <w:name w:val="toc 7"/>
    <w:basedOn w:val="Normal"/>
    <w:next w:val="Normal"/>
    <w:autoRedefine/>
    <w:uiPriority w:val="39"/>
    <w:semiHidden/>
    <w:unhideWhenUsed/>
    <w:rsid w:val="00DA2359"/>
    <w:pPr>
      <w:spacing w:after="0"/>
    </w:pPr>
  </w:style>
  <w:style w:type="paragraph" w:styleId="TOC8">
    <w:name w:val="toc 8"/>
    <w:basedOn w:val="Normal"/>
    <w:next w:val="Normal"/>
    <w:autoRedefine/>
    <w:uiPriority w:val="39"/>
    <w:semiHidden/>
    <w:unhideWhenUsed/>
    <w:rsid w:val="00DA2359"/>
    <w:pPr>
      <w:spacing w:after="0"/>
    </w:pPr>
  </w:style>
  <w:style w:type="paragraph" w:styleId="TOC9">
    <w:name w:val="toc 9"/>
    <w:basedOn w:val="Normal"/>
    <w:next w:val="Normal"/>
    <w:autoRedefine/>
    <w:uiPriority w:val="39"/>
    <w:semiHidden/>
    <w:unhideWhenUsed/>
    <w:rsid w:val="00DA2359"/>
    <w:pPr>
      <w:spacing w:after="0"/>
    </w:pPr>
  </w:style>
  <w:style w:type="character" w:styleId="CommentReference">
    <w:name w:val="annotation reference"/>
    <w:basedOn w:val="DefaultParagraphFont"/>
    <w:uiPriority w:val="99"/>
    <w:semiHidden/>
    <w:unhideWhenUsed/>
    <w:rsid w:val="00A47468"/>
    <w:rPr>
      <w:sz w:val="16"/>
      <w:szCs w:val="16"/>
    </w:rPr>
  </w:style>
  <w:style w:type="paragraph" w:styleId="CommentText">
    <w:name w:val="annotation text"/>
    <w:basedOn w:val="Normal"/>
    <w:link w:val="CommentTextChar"/>
    <w:uiPriority w:val="99"/>
    <w:semiHidden/>
    <w:unhideWhenUsed/>
    <w:rsid w:val="00A47468"/>
    <w:pPr>
      <w:spacing w:line="240" w:lineRule="auto"/>
    </w:pPr>
    <w:rPr>
      <w:sz w:val="20"/>
      <w:szCs w:val="20"/>
    </w:rPr>
  </w:style>
  <w:style w:type="character" w:customStyle="1" w:styleId="CommentTextChar">
    <w:name w:val="Comment Text Char"/>
    <w:basedOn w:val="DefaultParagraphFont"/>
    <w:link w:val="CommentText"/>
    <w:uiPriority w:val="99"/>
    <w:semiHidden/>
    <w:rsid w:val="00A47468"/>
    <w:rPr>
      <w:sz w:val="20"/>
      <w:szCs w:val="20"/>
    </w:rPr>
  </w:style>
  <w:style w:type="paragraph" w:styleId="CommentSubject">
    <w:name w:val="annotation subject"/>
    <w:basedOn w:val="CommentText"/>
    <w:next w:val="CommentText"/>
    <w:link w:val="CommentSubjectChar"/>
    <w:uiPriority w:val="99"/>
    <w:semiHidden/>
    <w:unhideWhenUsed/>
    <w:rsid w:val="00A47468"/>
    <w:rPr>
      <w:b/>
      <w:bCs/>
    </w:rPr>
  </w:style>
  <w:style w:type="character" w:customStyle="1" w:styleId="CommentSubjectChar">
    <w:name w:val="Comment Subject Char"/>
    <w:basedOn w:val="CommentTextChar"/>
    <w:link w:val="CommentSubject"/>
    <w:uiPriority w:val="99"/>
    <w:semiHidden/>
    <w:rsid w:val="00A47468"/>
    <w:rPr>
      <w:b/>
      <w:bCs/>
      <w:sz w:val="20"/>
      <w:szCs w:val="20"/>
    </w:rPr>
  </w:style>
  <w:style w:type="character" w:customStyle="1" w:styleId="pageheadline1">
    <w:name w:val="pageheadline1"/>
    <w:basedOn w:val="DefaultParagraphFont"/>
    <w:rsid w:val="00EC2076"/>
  </w:style>
  <w:style w:type="character" w:customStyle="1" w:styleId="pageheadline">
    <w:name w:val="pageheadline"/>
    <w:basedOn w:val="DefaultParagraphFont"/>
    <w:rsid w:val="00873DA1"/>
  </w:style>
  <w:style w:type="paragraph" w:styleId="Revision">
    <w:name w:val="Revision"/>
    <w:hidden/>
    <w:uiPriority w:val="99"/>
    <w:semiHidden/>
    <w:rsid w:val="00D26F42"/>
    <w:pPr>
      <w:spacing w:after="0" w:line="240" w:lineRule="auto"/>
    </w:pPr>
  </w:style>
  <w:style w:type="paragraph" w:styleId="Caption">
    <w:name w:val="caption"/>
    <w:basedOn w:val="Normal"/>
    <w:next w:val="Normal"/>
    <w:uiPriority w:val="35"/>
    <w:unhideWhenUsed/>
    <w:qFormat/>
    <w:rsid w:val="00CE4E5A"/>
    <w:pPr>
      <w:spacing w:line="240" w:lineRule="auto"/>
    </w:pPr>
    <w:rPr>
      <w:b/>
      <w:bCs/>
      <w:color w:val="4F81BD" w:themeColor="accent1"/>
      <w:sz w:val="18"/>
      <w:szCs w:val="18"/>
    </w:rPr>
  </w:style>
  <w:style w:type="paragraph" w:styleId="PlainText">
    <w:name w:val="Plain Text"/>
    <w:basedOn w:val="Normal"/>
    <w:link w:val="PlainTextChar"/>
    <w:uiPriority w:val="99"/>
    <w:semiHidden/>
    <w:unhideWhenUsed/>
    <w:rsid w:val="0089731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897319"/>
    <w:rPr>
      <w:rFonts w:ascii="Consolas" w:hAnsi="Consolas" w:cs="Times New Roman"/>
      <w:sz w:val="21"/>
      <w:szCs w:val="21"/>
    </w:rPr>
  </w:style>
  <w:style w:type="paragraph" w:styleId="FootnoteText">
    <w:name w:val="footnote text"/>
    <w:basedOn w:val="Normal"/>
    <w:link w:val="FootnoteTextChar"/>
    <w:uiPriority w:val="99"/>
    <w:semiHidden/>
    <w:unhideWhenUsed/>
    <w:rsid w:val="005F5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365"/>
    <w:rPr>
      <w:sz w:val="20"/>
      <w:szCs w:val="20"/>
    </w:rPr>
  </w:style>
  <w:style w:type="character" w:styleId="FootnoteReference">
    <w:name w:val="footnote reference"/>
    <w:basedOn w:val="DefaultParagraphFont"/>
    <w:uiPriority w:val="99"/>
    <w:semiHidden/>
    <w:unhideWhenUsed/>
    <w:rsid w:val="005F536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AA"/>
  </w:style>
  <w:style w:type="paragraph" w:styleId="Heading1">
    <w:name w:val="heading 1"/>
    <w:basedOn w:val="Normal"/>
    <w:next w:val="Normal"/>
    <w:link w:val="Heading1Char"/>
    <w:uiPriority w:val="9"/>
    <w:qFormat/>
    <w:rsid w:val="00DA23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84"/>
    <w:pPr>
      <w:ind w:left="720"/>
      <w:contextualSpacing/>
    </w:pPr>
  </w:style>
  <w:style w:type="character" w:styleId="Hyperlink">
    <w:name w:val="Hyperlink"/>
    <w:basedOn w:val="DefaultParagraphFont"/>
    <w:uiPriority w:val="99"/>
    <w:unhideWhenUsed/>
    <w:rsid w:val="00F01BE3"/>
    <w:rPr>
      <w:color w:val="0000FF" w:themeColor="hyperlink"/>
      <w:u w:val="single"/>
    </w:rPr>
  </w:style>
  <w:style w:type="paragraph" w:styleId="NormalWeb">
    <w:name w:val="Normal (Web)"/>
    <w:basedOn w:val="Normal"/>
    <w:uiPriority w:val="99"/>
    <w:unhideWhenUsed/>
    <w:rsid w:val="00C778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3A"/>
  </w:style>
  <w:style w:type="paragraph" w:styleId="Footer">
    <w:name w:val="footer"/>
    <w:basedOn w:val="Normal"/>
    <w:link w:val="FooterChar"/>
    <w:uiPriority w:val="99"/>
    <w:semiHidden/>
    <w:unhideWhenUsed/>
    <w:rsid w:val="003314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143A"/>
  </w:style>
  <w:style w:type="character" w:styleId="FollowedHyperlink">
    <w:name w:val="FollowedHyperlink"/>
    <w:basedOn w:val="DefaultParagraphFont"/>
    <w:uiPriority w:val="99"/>
    <w:semiHidden/>
    <w:unhideWhenUsed/>
    <w:rsid w:val="00BF7B94"/>
    <w:rPr>
      <w:color w:val="800080" w:themeColor="followedHyperlink"/>
      <w:u w:val="single"/>
    </w:rPr>
  </w:style>
  <w:style w:type="paragraph" w:styleId="BalloonText">
    <w:name w:val="Balloon Text"/>
    <w:basedOn w:val="Normal"/>
    <w:link w:val="BalloonTextChar"/>
    <w:uiPriority w:val="99"/>
    <w:semiHidden/>
    <w:unhideWhenUsed/>
    <w:rsid w:val="00BF7B9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F7B94"/>
    <w:rPr>
      <w:rFonts w:ascii="Lucida Grande" w:hAnsi="Lucida Grande"/>
      <w:sz w:val="18"/>
      <w:szCs w:val="18"/>
    </w:rPr>
  </w:style>
  <w:style w:type="character" w:customStyle="1" w:styleId="Heading1Char">
    <w:name w:val="Heading 1 Char"/>
    <w:basedOn w:val="DefaultParagraphFont"/>
    <w:link w:val="Heading1"/>
    <w:uiPriority w:val="9"/>
    <w:rsid w:val="00DA235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A2359"/>
    <w:pPr>
      <w:outlineLvl w:val="9"/>
    </w:pPr>
    <w:rPr>
      <w:color w:val="365F91" w:themeColor="accent1" w:themeShade="BF"/>
      <w:sz w:val="28"/>
      <w:szCs w:val="28"/>
    </w:rPr>
  </w:style>
  <w:style w:type="paragraph" w:styleId="TOC1">
    <w:name w:val="toc 1"/>
    <w:basedOn w:val="Normal"/>
    <w:next w:val="Normal"/>
    <w:autoRedefine/>
    <w:uiPriority w:val="39"/>
    <w:semiHidden/>
    <w:unhideWhenUsed/>
    <w:rsid w:val="00DA2359"/>
    <w:pPr>
      <w:spacing w:before="240" w:after="120"/>
    </w:pPr>
    <w:rPr>
      <w:b/>
      <w:caps/>
      <w:u w:val="single"/>
    </w:rPr>
  </w:style>
  <w:style w:type="paragraph" w:styleId="TOC2">
    <w:name w:val="toc 2"/>
    <w:basedOn w:val="Normal"/>
    <w:next w:val="Normal"/>
    <w:autoRedefine/>
    <w:uiPriority w:val="39"/>
    <w:semiHidden/>
    <w:unhideWhenUsed/>
    <w:rsid w:val="00DA2359"/>
    <w:pPr>
      <w:spacing w:after="0"/>
    </w:pPr>
    <w:rPr>
      <w:b/>
      <w:smallCaps/>
    </w:rPr>
  </w:style>
  <w:style w:type="paragraph" w:styleId="TOC3">
    <w:name w:val="toc 3"/>
    <w:basedOn w:val="Normal"/>
    <w:next w:val="Normal"/>
    <w:autoRedefine/>
    <w:uiPriority w:val="39"/>
    <w:semiHidden/>
    <w:unhideWhenUsed/>
    <w:rsid w:val="00DA2359"/>
    <w:pPr>
      <w:spacing w:after="0"/>
    </w:pPr>
    <w:rPr>
      <w:smallCaps/>
    </w:rPr>
  </w:style>
  <w:style w:type="paragraph" w:styleId="TOC4">
    <w:name w:val="toc 4"/>
    <w:basedOn w:val="Normal"/>
    <w:next w:val="Normal"/>
    <w:autoRedefine/>
    <w:uiPriority w:val="39"/>
    <w:semiHidden/>
    <w:unhideWhenUsed/>
    <w:rsid w:val="00DA2359"/>
    <w:pPr>
      <w:spacing w:after="0"/>
    </w:pPr>
  </w:style>
  <w:style w:type="paragraph" w:styleId="TOC5">
    <w:name w:val="toc 5"/>
    <w:basedOn w:val="Normal"/>
    <w:next w:val="Normal"/>
    <w:autoRedefine/>
    <w:uiPriority w:val="39"/>
    <w:semiHidden/>
    <w:unhideWhenUsed/>
    <w:rsid w:val="00DA2359"/>
    <w:pPr>
      <w:spacing w:after="0"/>
    </w:pPr>
  </w:style>
  <w:style w:type="paragraph" w:styleId="TOC6">
    <w:name w:val="toc 6"/>
    <w:basedOn w:val="Normal"/>
    <w:next w:val="Normal"/>
    <w:autoRedefine/>
    <w:uiPriority w:val="39"/>
    <w:semiHidden/>
    <w:unhideWhenUsed/>
    <w:rsid w:val="00DA2359"/>
    <w:pPr>
      <w:spacing w:after="0"/>
    </w:pPr>
  </w:style>
  <w:style w:type="paragraph" w:styleId="TOC7">
    <w:name w:val="toc 7"/>
    <w:basedOn w:val="Normal"/>
    <w:next w:val="Normal"/>
    <w:autoRedefine/>
    <w:uiPriority w:val="39"/>
    <w:semiHidden/>
    <w:unhideWhenUsed/>
    <w:rsid w:val="00DA2359"/>
    <w:pPr>
      <w:spacing w:after="0"/>
    </w:pPr>
  </w:style>
  <w:style w:type="paragraph" w:styleId="TOC8">
    <w:name w:val="toc 8"/>
    <w:basedOn w:val="Normal"/>
    <w:next w:val="Normal"/>
    <w:autoRedefine/>
    <w:uiPriority w:val="39"/>
    <w:semiHidden/>
    <w:unhideWhenUsed/>
    <w:rsid w:val="00DA2359"/>
    <w:pPr>
      <w:spacing w:after="0"/>
    </w:pPr>
  </w:style>
  <w:style w:type="paragraph" w:styleId="TOC9">
    <w:name w:val="toc 9"/>
    <w:basedOn w:val="Normal"/>
    <w:next w:val="Normal"/>
    <w:autoRedefine/>
    <w:uiPriority w:val="39"/>
    <w:semiHidden/>
    <w:unhideWhenUsed/>
    <w:rsid w:val="00DA2359"/>
    <w:pPr>
      <w:spacing w:after="0"/>
    </w:pPr>
  </w:style>
  <w:style w:type="character" w:styleId="CommentReference">
    <w:name w:val="annotation reference"/>
    <w:basedOn w:val="DefaultParagraphFont"/>
    <w:uiPriority w:val="99"/>
    <w:semiHidden/>
    <w:unhideWhenUsed/>
    <w:rsid w:val="00A47468"/>
    <w:rPr>
      <w:sz w:val="16"/>
      <w:szCs w:val="16"/>
    </w:rPr>
  </w:style>
  <w:style w:type="paragraph" w:styleId="CommentText">
    <w:name w:val="annotation text"/>
    <w:basedOn w:val="Normal"/>
    <w:link w:val="CommentTextChar"/>
    <w:uiPriority w:val="99"/>
    <w:semiHidden/>
    <w:unhideWhenUsed/>
    <w:rsid w:val="00A47468"/>
    <w:pPr>
      <w:spacing w:line="240" w:lineRule="auto"/>
    </w:pPr>
    <w:rPr>
      <w:sz w:val="20"/>
      <w:szCs w:val="20"/>
    </w:rPr>
  </w:style>
  <w:style w:type="character" w:customStyle="1" w:styleId="CommentTextChar">
    <w:name w:val="Comment Text Char"/>
    <w:basedOn w:val="DefaultParagraphFont"/>
    <w:link w:val="CommentText"/>
    <w:uiPriority w:val="99"/>
    <w:semiHidden/>
    <w:rsid w:val="00A47468"/>
    <w:rPr>
      <w:sz w:val="20"/>
      <w:szCs w:val="20"/>
    </w:rPr>
  </w:style>
  <w:style w:type="paragraph" w:styleId="CommentSubject">
    <w:name w:val="annotation subject"/>
    <w:basedOn w:val="CommentText"/>
    <w:next w:val="CommentText"/>
    <w:link w:val="CommentSubjectChar"/>
    <w:uiPriority w:val="99"/>
    <w:semiHidden/>
    <w:unhideWhenUsed/>
    <w:rsid w:val="00A47468"/>
    <w:rPr>
      <w:b/>
      <w:bCs/>
    </w:rPr>
  </w:style>
  <w:style w:type="character" w:customStyle="1" w:styleId="CommentSubjectChar">
    <w:name w:val="Comment Subject Char"/>
    <w:basedOn w:val="CommentTextChar"/>
    <w:link w:val="CommentSubject"/>
    <w:uiPriority w:val="99"/>
    <w:semiHidden/>
    <w:rsid w:val="00A47468"/>
    <w:rPr>
      <w:b/>
      <w:bCs/>
      <w:sz w:val="20"/>
      <w:szCs w:val="20"/>
    </w:rPr>
  </w:style>
  <w:style w:type="character" w:customStyle="1" w:styleId="pageheadline1">
    <w:name w:val="pageheadline1"/>
    <w:basedOn w:val="DefaultParagraphFont"/>
    <w:rsid w:val="00EC2076"/>
  </w:style>
  <w:style w:type="character" w:customStyle="1" w:styleId="pageheadline">
    <w:name w:val="pageheadline"/>
    <w:basedOn w:val="DefaultParagraphFont"/>
    <w:rsid w:val="00873DA1"/>
  </w:style>
  <w:style w:type="paragraph" w:styleId="Revision">
    <w:name w:val="Revision"/>
    <w:hidden/>
    <w:uiPriority w:val="99"/>
    <w:semiHidden/>
    <w:rsid w:val="00D26F42"/>
    <w:pPr>
      <w:spacing w:after="0" w:line="240" w:lineRule="auto"/>
    </w:pPr>
  </w:style>
  <w:style w:type="paragraph" w:styleId="Caption">
    <w:name w:val="caption"/>
    <w:basedOn w:val="Normal"/>
    <w:next w:val="Normal"/>
    <w:uiPriority w:val="35"/>
    <w:unhideWhenUsed/>
    <w:qFormat/>
    <w:rsid w:val="00CE4E5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5418130">
      <w:bodyDiv w:val="1"/>
      <w:marLeft w:val="0"/>
      <w:marRight w:val="0"/>
      <w:marTop w:val="0"/>
      <w:marBottom w:val="0"/>
      <w:divBdr>
        <w:top w:val="none" w:sz="0" w:space="0" w:color="auto"/>
        <w:left w:val="none" w:sz="0" w:space="0" w:color="auto"/>
        <w:bottom w:val="none" w:sz="0" w:space="0" w:color="auto"/>
        <w:right w:val="none" w:sz="0" w:space="0" w:color="auto"/>
      </w:divBdr>
    </w:div>
    <w:div w:id="157156089">
      <w:bodyDiv w:val="1"/>
      <w:marLeft w:val="0"/>
      <w:marRight w:val="0"/>
      <w:marTop w:val="0"/>
      <w:marBottom w:val="0"/>
      <w:divBdr>
        <w:top w:val="none" w:sz="0" w:space="0" w:color="auto"/>
        <w:left w:val="none" w:sz="0" w:space="0" w:color="auto"/>
        <w:bottom w:val="none" w:sz="0" w:space="0" w:color="auto"/>
        <w:right w:val="none" w:sz="0" w:space="0" w:color="auto"/>
      </w:divBdr>
    </w:div>
    <w:div w:id="361514287">
      <w:bodyDiv w:val="1"/>
      <w:marLeft w:val="0"/>
      <w:marRight w:val="0"/>
      <w:marTop w:val="0"/>
      <w:marBottom w:val="0"/>
      <w:divBdr>
        <w:top w:val="none" w:sz="0" w:space="0" w:color="auto"/>
        <w:left w:val="none" w:sz="0" w:space="0" w:color="auto"/>
        <w:bottom w:val="none" w:sz="0" w:space="0" w:color="auto"/>
        <w:right w:val="none" w:sz="0" w:space="0" w:color="auto"/>
      </w:divBdr>
      <w:divsChild>
        <w:div w:id="1740321658">
          <w:marLeft w:val="547"/>
          <w:marRight w:val="0"/>
          <w:marTop w:val="154"/>
          <w:marBottom w:val="0"/>
          <w:divBdr>
            <w:top w:val="none" w:sz="0" w:space="0" w:color="auto"/>
            <w:left w:val="none" w:sz="0" w:space="0" w:color="auto"/>
            <w:bottom w:val="none" w:sz="0" w:space="0" w:color="auto"/>
            <w:right w:val="none" w:sz="0" w:space="0" w:color="auto"/>
          </w:divBdr>
        </w:div>
        <w:div w:id="1966765529">
          <w:marLeft w:val="1166"/>
          <w:marRight w:val="0"/>
          <w:marTop w:val="134"/>
          <w:marBottom w:val="0"/>
          <w:divBdr>
            <w:top w:val="none" w:sz="0" w:space="0" w:color="auto"/>
            <w:left w:val="none" w:sz="0" w:space="0" w:color="auto"/>
            <w:bottom w:val="none" w:sz="0" w:space="0" w:color="auto"/>
            <w:right w:val="none" w:sz="0" w:space="0" w:color="auto"/>
          </w:divBdr>
        </w:div>
        <w:div w:id="947156187">
          <w:marLeft w:val="1166"/>
          <w:marRight w:val="0"/>
          <w:marTop w:val="134"/>
          <w:marBottom w:val="0"/>
          <w:divBdr>
            <w:top w:val="none" w:sz="0" w:space="0" w:color="auto"/>
            <w:left w:val="none" w:sz="0" w:space="0" w:color="auto"/>
            <w:bottom w:val="none" w:sz="0" w:space="0" w:color="auto"/>
            <w:right w:val="none" w:sz="0" w:space="0" w:color="auto"/>
          </w:divBdr>
        </w:div>
        <w:div w:id="621503225">
          <w:marLeft w:val="1166"/>
          <w:marRight w:val="0"/>
          <w:marTop w:val="134"/>
          <w:marBottom w:val="0"/>
          <w:divBdr>
            <w:top w:val="none" w:sz="0" w:space="0" w:color="auto"/>
            <w:left w:val="none" w:sz="0" w:space="0" w:color="auto"/>
            <w:bottom w:val="none" w:sz="0" w:space="0" w:color="auto"/>
            <w:right w:val="none" w:sz="0" w:space="0" w:color="auto"/>
          </w:divBdr>
        </w:div>
        <w:div w:id="2146970641">
          <w:marLeft w:val="1800"/>
          <w:marRight w:val="0"/>
          <w:marTop w:val="115"/>
          <w:marBottom w:val="0"/>
          <w:divBdr>
            <w:top w:val="none" w:sz="0" w:space="0" w:color="auto"/>
            <w:left w:val="none" w:sz="0" w:space="0" w:color="auto"/>
            <w:bottom w:val="none" w:sz="0" w:space="0" w:color="auto"/>
            <w:right w:val="none" w:sz="0" w:space="0" w:color="auto"/>
          </w:divBdr>
        </w:div>
      </w:divsChild>
    </w:div>
    <w:div w:id="373504105">
      <w:bodyDiv w:val="1"/>
      <w:marLeft w:val="0"/>
      <w:marRight w:val="0"/>
      <w:marTop w:val="0"/>
      <w:marBottom w:val="0"/>
      <w:divBdr>
        <w:top w:val="none" w:sz="0" w:space="0" w:color="auto"/>
        <w:left w:val="none" w:sz="0" w:space="0" w:color="auto"/>
        <w:bottom w:val="none" w:sz="0" w:space="0" w:color="auto"/>
        <w:right w:val="none" w:sz="0" w:space="0" w:color="auto"/>
      </w:divBdr>
    </w:div>
    <w:div w:id="394668738">
      <w:bodyDiv w:val="1"/>
      <w:marLeft w:val="0"/>
      <w:marRight w:val="0"/>
      <w:marTop w:val="0"/>
      <w:marBottom w:val="0"/>
      <w:divBdr>
        <w:top w:val="none" w:sz="0" w:space="0" w:color="auto"/>
        <w:left w:val="none" w:sz="0" w:space="0" w:color="auto"/>
        <w:bottom w:val="none" w:sz="0" w:space="0" w:color="auto"/>
        <w:right w:val="none" w:sz="0" w:space="0" w:color="auto"/>
      </w:divBdr>
    </w:div>
    <w:div w:id="432015564">
      <w:bodyDiv w:val="1"/>
      <w:marLeft w:val="0"/>
      <w:marRight w:val="0"/>
      <w:marTop w:val="0"/>
      <w:marBottom w:val="0"/>
      <w:divBdr>
        <w:top w:val="none" w:sz="0" w:space="0" w:color="auto"/>
        <w:left w:val="none" w:sz="0" w:space="0" w:color="auto"/>
        <w:bottom w:val="none" w:sz="0" w:space="0" w:color="auto"/>
        <w:right w:val="none" w:sz="0" w:space="0" w:color="auto"/>
      </w:divBdr>
    </w:div>
    <w:div w:id="1257983872">
      <w:bodyDiv w:val="1"/>
      <w:marLeft w:val="0"/>
      <w:marRight w:val="0"/>
      <w:marTop w:val="0"/>
      <w:marBottom w:val="0"/>
      <w:divBdr>
        <w:top w:val="none" w:sz="0" w:space="0" w:color="auto"/>
        <w:left w:val="none" w:sz="0" w:space="0" w:color="auto"/>
        <w:bottom w:val="none" w:sz="0" w:space="0" w:color="auto"/>
        <w:right w:val="none" w:sz="0" w:space="0" w:color="auto"/>
      </w:divBdr>
    </w:div>
    <w:div w:id="1485782141">
      <w:bodyDiv w:val="1"/>
      <w:marLeft w:val="0"/>
      <w:marRight w:val="0"/>
      <w:marTop w:val="0"/>
      <w:marBottom w:val="0"/>
      <w:divBdr>
        <w:top w:val="none" w:sz="0" w:space="0" w:color="auto"/>
        <w:left w:val="none" w:sz="0" w:space="0" w:color="auto"/>
        <w:bottom w:val="none" w:sz="0" w:space="0" w:color="auto"/>
        <w:right w:val="none" w:sz="0" w:space="0" w:color="auto"/>
      </w:divBdr>
    </w:div>
    <w:div w:id="1526361035">
      <w:bodyDiv w:val="1"/>
      <w:marLeft w:val="0"/>
      <w:marRight w:val="0"/>
      <w:marTop w:val="0"/>
      <w:marBottom w:val="0"/>
      <w:divBdr>
        <w:top w:val="none" w:sz="0" w:space="0" w:color="auto"/>
        <w:left w:val="none" w:sz="0" w:space="0" w:color="auto"/>
        <w:bottom w:val="none" w:sz="0" w:space="0" w:color="auto"/>
        <w:right w:val="none" w:sz="0" w:space="0" w:color="auto"/>
      </w:divBdr>
    </w:div>
    <w:div w:id="1541090635">
      <w:bodyDiv w:val="1"/>
      <w:marLeft w:val="0"/>
      <w:marRight w:val="0"/>
      <w:marTop w:val="0"/>
      <w:marBottom w:val="0"/>
      <w:divBdr>
        <w:top w:val="none" w:sz="0" w:space="0" w:color="auto"/>
        <w:left w:val="none" w:sz="0" w:space="0" w:color="auto"/>
        <w:bottom w:val="none" w:sz="0" w:space="0" w:color="auto"/>
        <w:right w:val="none" w:sz="0" w:space="0" w:color="auto"/>
      </w:divBdr>
    </w:div>
    <w:div w:id="1955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stlane.nsf.gov/grfp/AwardeeList.do?method=loadAwardeeList" TargetMode="External"/><Relationship Id="rId18" Type="http://schemas.openxmlformats.org/officeDocument/2006/relationships/chart" Target="charts/chart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www.nsf.gov/statistics/"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lassifications.carnegiefoundation.org/"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aspar.nsf.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a.org/resources/crn-online-view/counting_computing_cra_taulbee_survey_and_nsf_statistics/" TargetMode="External"/><Relationship Id="rId23" Type="http://schemas.openxmlformats.org/officeDocument/2006/relationships/chart" Target="charts/chart8.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ra.org/resources/taulbee/" TargetMode="External"/><Relationship Id="rId22" Type="http://schemas.openxmlformats.org/officeDocument/2006/relationships/hyperlink" Target="http://www.nsf.gov/pubs/2012/nsf12599/nsf12599.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hambrus\Desktop\CRA-E%20data%20plots%20Dec%2012%20201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EH\Documents\My%20Dropbox\MISC\CRA-E\CRA-E%20data%20plots%20Nov-22-201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EH\Desktop\CRA-E_data_-plots_11-20-201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SEH\Desktop\CRA-E_data_-plots_11-20-201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SEH\Desktop\CRA-E_data_-plots_11-20-201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hambrus\Desktop\CRA-E%20data%20plots%20Dec%2012%20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EH\Documents\My%20Dropbox\MISC\CRA-E\CRA-E%20data%20plots%20Nov-22-201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SEH\Desktop\CRA-E_data_-plots_11-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619474631786701"/>
          <c:y val="3.3836246408849552E-2"/>
          <c:w val="0.75287727083331413"/>
          <c:h val="0.77251561042785089"/>
        </c:manualLayout>
      </c:layout>
      <c:lineChart>
        <c:grouping val="standard"/>
        <c:ser>
          <c:idx val="4"/>
          <c:order val="0"/>
          <c:tx>
            <c:v>total CS PhDs</c:v>
          </c:tx>
          <c:marker>
            <c:symbol val="none"/>
          </c:marker>
          <c:cat>
            <c:numRef>
              <c:f>'01.PhDs Fig 1&amp;2s'!$A$49:$A$74</c:f>
              <c:numCache>
                <c:formatCode>General</c:formatCode>
                <c:ptCount val="2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numCache>
            </c:numRef>
          </c:cat>
          <c:val>
            <c:numRef>
              <c:f>'01.PhDs Fig 1&amp;2s'!$E$49:$E$74</c:f>
              <c:numCache>
                <c:formatCode>General</c:formatCode>
                <c:ptCount val="26"/>
                <c:pt idx="0">
                  <c:v>310</c:v>
                </c:pt>
                <c:pt idx="1">
                  <c:v>399</c:v>
                </c:pt>
                <c:pt idx="2">
                  <c:v>450</c:v>
                </c:pt>
                <c:pt idx="3">
                  <c:v>515</c:v>
                </c:pt>
                <c:pt idx="4">
                  <c:v>613</c:v>
                </c:pt>
                <c:pt idx="5">
                  <c:v>705</c:v>
                </c:pt>
                <c:pt idx="6">
                  <c:v>800</c:v>
                </c:pt>
                <c:pt idx="7">
                  <c:v>869</c:v>
                </c:pt>
                <c:pt idx="8">
                  <c:v>880</c:v>
                </c:pt>
                <c:pt idx="9">
                  <c:v>903</c:v>
                </c:pt>
                <c:pt idx="10">
                  <c:v>997</c:v>
                </c:pt>
                <c:pt idx="11">
                  <c:v>920</c:v>
                </c:pt>
                <c:pt idx="12">
                  <c:v>909</c:v>
                </c:pt>
                <c:pt idx="13">
                  <c:v>927</c:v>
                </c:pt>
                <c:pt idx="14">
                  <c:v>856</c:v>
                </c:pt>
                <c:pt idx="15">
                  <c:v>861</c:v>
                </c:pt>
                <c:pt idx="16">
                  <c:v>830</c:v>
                </c:pt>
                <c:pt idx="17">
                  <c:v>809</c:v>
                </c:pt>
                <c:pt idx="18">
                  <c:v>867</c:v>
                </c:pt>
                <c:pt idx="19">
                  <c:v>948</c:v>
                </c:pt>
                <c:pt idx="20" formatCode="#,##0">
                  <c:v>1129</c:v>
                </c:pt>
                <c:pt idx="21" formatCode="#,##0">
                  <c:v>1453</c:v>
                </c:pt>
                <c:pt idx="22" formatCode="#,##0">
                  <c:v>1655</c:v>
                </c:pt>
                <c:pt idx="23" formatCode="#,##0">
                  <c:v>1787</c:v>
                </c:pt>
                <c:pt idx="24" formatCode="#,##0">
                  <c:v>1609</c:v>
                </c:pt>
                <c:pt idx="25" formatCode="#,##0">
                  <c:v>1665</c:v>
                </c:pt>
              </c:numCache>
            </c:numRef>
          </c:val>
        </c:ser>
        <c:marker val="1"/>
        <c:axId val="119779328"/>
        <c:axId val="119780864"/>
      </c:lineChart>
      <c:catAx>
        <c:axId val="119779328"/>
        <c:scaling>
          <c:orientation val="minMax"/>
        </c:scaling>
        <c:axPos val="b"/>
        <c:numFmt formatCode="General" sourceLinked="1"/>
        <c:tickLblPos val="nextTo"/>
        <c:txPr>
          <a:bodyPr rot="3060000"/>
          <a:lstStyle/>
          <a:p>
            <a:pPr>
              <a:defRPr sz="800" baseline="0"/>
            </a:pPr>
            <a:endParaRPr lang="en-US"/>
          </a:p>
        </c:txPr>
        <c:crossAx val="119780864"/>
        <c:crosses val="autoZero"/>
        <c:lblAlgn val="ctr"/>
        <c:lblOffset val="100"/>
        <c:tickLblSkip val="2"/>
        <c:tickMarkSkip val="1"/>
      </c:catAx>
      <c:valAx>
        <c:axId val="119780864"/>
        <c:scaling>
          <c:orientation val="minMax"/>
          <c:max val="1800"/>
        </c:scaling>
        <c:axPos val="l"/>
        <c:majorGridlines/>
        <c:title>
          <c:tx>
            <c:rich>
              <a:bodyPr rot="-5400000" vert="horz"/>
              <a:lstStyle/>
              <a:p>
                <a:pPr>
                  <a:defRPr/>
                </a:pPr>
                <a:r>
                  <a:rPr lang="en-US"/>
                  <a:t>number of CS PhDs produced</a:t>
                </a:r>
              </a:p>
            </c:rich>
          </c:tx>
          <c:layout>
            <c:manualLayout>
              <c:xMode val="edge"/>
              <c:yMode val="edge"/>
              <c:x val="2.4014192604522519E-2"/>
              <c:y val="0.21327355521277178"/>
            </c:manualLayout>
          </c:layout>
        </c:title>
        <c:numFmt formatCode="General" sourceLinked="1"/>
        <c:tickLblPos val="nextTo"/>
        <c:txPr>
          <a:bodyPr/>
          <a:lstStyle/>
          <a:p>
            <a:pPr>
              <a:defRPr sz="900" baseline="0"/>
            </a:pPr>
            <a:endParaRPr lang="en-US"/>
          </a:p>
        </c:txPr>
        <c:crossAx val="119779328"/>
        <c:crosses val="autoZero"/>
        <c:crossBetween val="midCat"/>
      </c:valAx>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880053281628117"/>
          <c:y val="4.7484058482345909E-2"/>
          <c:w val="0.5767449339102928"/>
          <c:h val="0.75218357490481402"/>
        </c:manualLayout>
      </c:layout>
      <c:areaChart>
        <c:grouping val="percentStacked"/>
        <c:ser>
          <c:idx val="0"/>
          <c:order val="0"/>
          <c:tx>
            <c:v> US citizens and permanent residents</c:v>
          </c:tx>
          <c:cat>
            <c:numRef>
              <c:f>'01.PhDs Fig 1&amp;2s'!$A$49:$A$74</c:f>
              <c:numCache>
                <c:formatCode>General</c:formatCode>
                <c:ptCount val="2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numCache>
            </c:numRef>
          </c:cat>
          <c:val>
            <c:numRef>
              <c:f>'01.PhDs Fig 1&amp;2s'!$F$49:$F$74</c:f>
              <c:numCache>
                <c:formatCode>0.00</c:formatCode>
                <c:ptCount val="26"/>
                <c:pt idx="0">
                  <c:v>68.709677419354719</c:v>
                </c:pt>
                <c:pt idx="1">
                  <c:v>62.656641604009991</c:v>
                </c:pt>
                <c:pt idx="2">
                  <c:v>61.333333333333329</c:v>
                </c:pt>
                <c:pt idx="3">
                  <c:v>63.300970873786241</c:v>
                </c:pt>
                <c:pt idx="4">
                  <c:v>64.926590538336043</c:v>
                </c:pt>
                <c:pt idx="5">
                  <c:v>57.304964539006875</c:v>
                </c:pt>
                <c:pt idx="6">
                  <c:v>56.375</c:v>
                </c:pt>
                <c:pt idx="7">
                  <c:v>56.271576524741093</c:v>
                </c:pt>
                <c:pt idx="8">
                  <c:v>57.954545454545283</c:v>
                </c:pt>
                <c:pt idx="9">
                  <c:v>60.243632336655757</c:v>
                </c:pt>
                <c:pt idx="10">
                  <c:v>61.785356068204607</c:v>
                </c:pt>
                <c:pt idx="11">
                  <c:v>55.869565217391298</c:v>
                </c:pt>
                <c:pt idx="12">
                  <c:v>57.315731573157244</c:v>
                </c:pt>
                <c:pt idx="13">
                  <c:v>60.733549083063544</c:v>
                </c:pt>
                <c:pt idx="14">
                  <c:v>57.59345794392538</c:v>
                </c:pt>
                <c:pt idx="15">
                  <c:v>53.658536585365859</c:v>
                </c:pt>
                <c:pt idx="16">
                  <c:v>51.686746987951913</c:v>
                </c:pt>
                <c:pt idx="17">
                  <c:v>52.410383189122243</c:v>
                </c:pt>
                <c:pt idx="18">
                  <c:v>51.557093425605309</c:v>
                </c:pt>
                <c:pt idx="19">
                  <c:v>47.257383966244603</c:v>
                </c:pt>
                <c:pt idx="20">
                  <c:v>41.452612931798051</c:v>
                </c:pt>
                <c:pt idx="21">
                  <c:v>40.536820371644794</c:v>
                </c:pt>
                <c:pt idx="22">
                  <c:v>38.670694864048244</c:v>
                </c:pt>
                <c:pt idx="23">
                  <c:v>39.003917179630498</c:v>
                </c:pt>
                <c:pt idx="24">
                  <c:v>45.618396519577381</c:v>
                </c:pt>
                <c:pt idx="25">
                  <c:v>47.207207207207048</c:v>
                </c:pt>
              </c:numCache>
            </c:numRef>
          </c:val>
        </c:ser>
        <c:ser>
          <c:idx val="1"/>
          <c:order val="1"/>
          <c:tx>
            <c:v>temporary residents</c:v>
          </c:tx>
          <c:cat>
            <c:numRef>
              <c:f>'01.PhDs Fig 1&amp;2s'!$A$49:$A$74</c:f>
              <c:numCache>
                <c:formatCode>General</c:formatCode>
                <c:ptCount val="2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numCache>
            </c:numRef>
          </c:cat>
          <c:val>
            <c:numRef>
              <c:f>'01.PhDs Fig 1&amp;2s'!$G$49:$G$74</c:f>
              <c:numCache>
                <c:formatCode>0.00</c:formatCode>
                <c:ptCount val="26"/>
                <c:pt idx="0">
                  <c:v>29.677419354838715</c:v>
                </c:pt>
                <c:pt idx="1">
                  <c:v>30.82706766917293</c:v>
                </c:pt>
                <c:pt idx="2">
                  <c:v>32</c:v>
                </c:pt>
                <c:pt idx="3">
                  <c:v>34.174757281553397</c:v>
                </c:pt>
                <c:pt idx="4">
                  <c:v>29.037520391517127</c:v>
                </c:pt>
                <c:pt idx="5">
                  <c:v>38.723404255319146</c:v>
                </c:pt>
                <c:pt idx="6">
                  <c:v>42.5</c:v>
                </c:pt>
                <c:pt idx="7">
                  <c:v>42.117376294591502</c:v>
                </c:pt>
                <c:pt idx="8">
                  <c:v>39.545454545454547</c:v>
                </c:pt>
                <c:pt idx="9">
                  <c:v>37.984496124030997</c:v>
                </c:pt>
                <c:pt idx="10">
                  <c:v>36.609829488465344</c:v>
                </c:pt>
                <c:pt idx="11">
                  <c:v>41.304347826086946</c:v>
                </c:pt>
                <c:pt idx="12">
                  <c:v>36.303630363036163</c:v>
                </c:pt>
                <c:pt idx="13">
                  <c:v>35.167206040992447</c:v>
                </c:pt>
                <c:pt idx="14">
                  <c:v>38.551401869158795</c:v>
                </c:pt>
                <c:pt idx="15">
                  <c:v>42.27642276422764</c:v>
                </c:pt>
                <c:pt idx="16">
                  <c:v>43.132530120482123</c:v>
                </c:pt>
                <c:pt idx="17">
                  <c:v>43.13967861557493</c:v>
                </c:pt>
                <c:pt idx="18">
                  <c:v>43.829296424452096</c:v>
                </c:pt>
                <c:pt idx="19">
                  <c:v>48.52320675105485</c:v>
                </c:pt>
                <c:pt idx="20">
                  <c:v>52.878653675819244</c:v>
                </c:pt>
                <c:pt idx="21">
                  <c:v>54.92085340674452</c:v>
                </c:pt>
                <c:pt idx="22">
                  <c:v>54.320241691842668</c:v>
                </c:pt>
                <c:pt idx="23">
                  <c:v>56.239507554560731</c:v>
                </c:pt>
                <c:pt idx="24">
                  <c:v>48.912367930391547</c:v>
                </c:pt>
                <c:pt idx="25">
                  <c:v>46.006006006006004</c:v>
                </c:pt>
              </c:numCache>
            </c:numRef>
          </c:val>
        </c:ser>
        <c:ser>
          <c:idx val="2"/>
          <c:order val="2"/>
          <c:tx>
            <c:v>unknown</c:v>
          </c:tx>
          <c:cat>
            <c:numRef>
              <c:f>'01.PhDs Fig 1&amp;2s'!$A$49:$A$74</c:f>
              <c:numCache>
                <c:formatCode>General</c:formatCode>
                <c:ptCount val="26"/>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numCache>
            </c:numRef>
          </c:cat>
          <c:val>
            <c:numRef>
              <c:f>'01.PhDs Fig 1&amp;2s'!$H$49:$H$74</c:f>
              <c:numCache>
                <c:formatCode>0.00</c:formatCode>
                <c:ptCount val="26"/>
                <c:pt idx="0">
                  <c:v>1.6129032258064511</c:v>
                </c:pt>
                <c:pt idx="1">
                  <c:v>6.5162907268170427</c:v>
                </c:pt>
                <c:pt idx="2">
                  <c:v>6.666666666666667</c:v>
                </c:pt>
                <c:pt idx="3">
                  <c:v>2.5242718446602002</c:v>
                </c:pt>
                <c:pt idx="4">
                  <c:v>6.0358890701468155</c:v>
                </c:pt>
                <c:pt idx="5">
                  <c:v>3.9716312056737588</c:v>
                </c:pt>
                <c:pt idx="6">
                  <c:v>1.125</c:v>
                </c:pt>
                <c:pt idx="7">
                  <c:v>1.611047180667434</c:v>
                </c:pt>
                <c:pt idx="8">
                  <c:v>2.5</c:v>
                </c:pt>
                <c:pt idx="9">
                  <c:v>1.7718715393133999</c:v>
                </c:pt>
                <c:pt idx="10">
                  <c:v>1.6048144433299898</c:v>
                </c:pt>
                <c:pt idx="11">
                  <c:v>2.8260869565217388</c:v>
                </c:pt>
                <c:pt idx="12">
                  <c:v>6.3806380638063809</c:v>
                </c:pt>
                <c:pt idx="13">
                  <c:v>4.0992448759439064</c:v>
                </c:pt>
                <c:pt idx="14">
                  <c:v>3.8551401869158757</c:v>
                </c:pt>
                <c:pt idx="15">
                  <c:v>4.0650406504064831</c:v>
                </c:pt>
                <c:pt idx="16">
                  <c:v>5.1807228915662664</c:v>
                </c:pt>
                <c:pt idx="17">
                  <c:v>4.4499381953028783</c:v>
                </c:pt>
                <c:pt idx="18">
                  <c:v>4.6136101499423301</c:v>
                </c:pt>
                <c:pt idx="19">
                  <c:v>4.2194092827004388</c:v>
                </c:pt>
                <c:pt idx="20">
                  <c:v>5.6687333923826424</c:v>
                </c:pt>
                <c:pt idx="21">
                  <c:v>4.5423262216104607</c:v>
                </c:pt>
                <c:pt idx="22">
                  <c:v>7.0090634441087838</c:v>
                </c:pt>
                <c:pt idx="23">
                  <c:v>4.7565752658086167</c:v>
                </c:pt>
                <c:pt idx="24">
                  <c:v>5.4692355500310752</c:v>
                </c:pt>
                <c:pt idx="25">
                  <c:v>6.786786786786787</c:v>
                </c:pt>
              </c:numCache>
            </c:numRef>
          </c:val>
        </c:ser>
        <c:axId val="129656704"/>
        <c:axId val="129658240"/>
      </c:areaChart>
      <c:catAx>
        <c:axId val="129656704"/>
        <c:scaling>
          <c:orientation val="minMax"/>
        </c:scaling>
        <c:axPos val="b"/>
        <c:majorGridlines/>
        <c:minorGridlines/>
        <c:numFmt formatCode="General" sourceLinked="1"/>
        <c:tickLblPos val="nextTo"/>
        <c:txPr>
          <a:bodyPr rot="3060000"/>
          <a:lstStyle/>
          <a:p>
            <a:pPr>
              <a:defRPr sz="800"/>
            </a:pPr>
            <a:endParaRPr lang="en-US"/>
          </a:p>
        </c:txPr>
        <c:crossAx val="129658240"/>
        <c:crosses val="autoZero"/>
        <c:auto val="1"/>
        <c:lblAlgn val="ctr"/>
        <c:lblOffset val="100"/>
        <c:tickLblSkip val="2"/>
      </c:catAx>
      <c:valAx>
        <c:axId val="129658240"/>
        <c:scaling>
          <c:orientation val="minMax"/>
        </c:scaling>
        <c:axPos val="l"/>
        <c:majorGridlines>
          <c:spPr>
            <a:ln>
              <a:solidFill>
                <a:schemeClr val="accent1"/>
              </a:solidFill>
            </a:ln>
          </c:spPr>
        </c:majorGridlines>
        <c:minorGridlines/>
        <c:title>
          <c:tx>
            <c:rich>
              <a:bodyPr/>
              <a:lstStyle/>
              <a:p>
                <a:pPr>
                  <a:defRPr/>
                </a:pPr>
                <a:r>
                  <a:rPr lang="en-US"/>
                  <a:t>%</a:t>
                </a:r>
                <a:r>
                  <a:rPr lang="en-US" baseline="0"/>
                  <a:t> PhDs awarded by residency</a:t>
                </a:r>
                <a:endParaRPr lang="en-US"/>
              </a:p>
            </c:rich>
          </c:tx>
        </c:title>
        <c:numFmt formatCode="0%" sourceLinked="1"/>
        <c:minorTickMark val="in"/>
        <c:tickLblPos val="nextTo"/>
        <c:txPr>
          <a:bodyPr/>
          <a:lstStyle/>
          <a:p>
            <a:pPr>
              <a:defRPr sz="800"/>
            </a:pPr>
            <a:endParaRPr lang="en-US"/>
          </a:p>
        </c:txPr>
        <c:crossAx val="129656704"/>
        <c:crosses val="autoZero"/>
        <c:crossBetween val="midCat"/>
      </c:valAx>
    </c:plotArea>
    <c:legend>
      <c:legendPos val="r"/>
      <c:legendEntry>
        <c:idx val="0"/>
        <c:txPr>
          <a:bodyPr/>
          <a:lstStyle/>
          <a:p>
            <a:pPr>
              <a:defRPr sz="900"/>
            </a:pPr>
            <a:endParaRPr lang="en-US"/>
          </a:p>
        </c:txPr>
      </c:legendEntry>
      <c:legendEntry>
        <c:idx val="1"/>
        <c:txPr>
          <a:bodyPr/>
          <a:lstStyle/>
          <a:p>
            <a:pPr>
              <a:defRPr sz="900"/>
            </a:pPr>
            <a:endParaRPr lang="en-US"/>
          </a:p>
        </c:txPr>
      </c:legendEntry>
      <c:legendEntry>
        <c:idx val="2"/>
        <c:txPr>
          <a:bodyPr/>
          <a:lstStyle/>
          <a:p>
            <a:pPr>
              <a:defRPr sz="900"/>
            </a:pPr>
            <a:endParaRPr lang="en-US"/>
          </a:p>
        </c:txPr>
      </c:legendEntry>
      <c:layout>
        <c:manualLayout>
          <c:xMode val="edge"/>
          <c:yMode val="edge"/>
          <c:x val="0.70787355897411564"/>
          <c:y val="0.15048908258723706"/>
          <c:w val="0.22338815295356487"/>
          <c:h val="0.28903689413273731"/>
        </c:manualLayout>
      </c:layout>
    </c:legend>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988053766006485"/>
          <c:y val="4.265108652463221E-2"/>
          <c:w val="0.71441294838144542"/>
          <c:h val="0.70533243850451632"/>
        </c:manualLayout>
      </c:layout>
      <c:areaChart>
        <c:grouping val="percentStacked"/>
        <c:ser>
          <c:idx val="0"/>
          <c:order val="0"/>
          <c:tx>
            <c:strRef>
              <c:f>'02.BS.alt'!$D$29</c:f>
              <c:strCache>
                <c:ptCount val="1"/>
                <c:pt idx="0">
                  <c:v>four-year</c:v>
                </c:pt>
              </c:strCache>
            </c:strRef>
          </c:tx>
          <c:spPr>
            <a:solidFill>
              <a:schemeClr val="accent3"/>
            </a:solidFill>
          </c:spP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'02.BS.alt'!$D$30:$D$46</c:f>
              <c:numCache>
                <c:formatCode>#,##0</c:formatCode>
                <c:ptCount val="17"/>
                <c:pt idx="0">
                  <c:v>2465</c:v>
                </c:pt>
                <c:pt idx="1">
                  <c:v>2355</c:v>
                </c:pt>
                <c:pt idx="2">
                  <c:v>2473</c:v>
                </c:pt>
                <c:pt idx="3">
                  <c:v>2506</c:v>
                </c:pt>
                <c:pt idx="4">
                  <c:v>2665</c:v>
                </c:pt>
                <c:pt idx="5">
                  <c:v>2976</c:v>
                </c:pt>
                <c:pt idx="6">
                  <c:v>3565</c:v>
                </c:pt>
                <c:pt idx="7">
                  <c:v>4311</c:v>
                </c:pt>
                <c:pt idx="8">
                  <c:v>5151</c:v>
                </c:pt>
                <c:pt idx="9">
                  <c:v>6236</c:v>
                </c:pt>
                <c:pt idx="10">
                  <c:v>6833</c:v>
                </c:pt>
                <c:pt idx="11">
                  <c:v>6316</c:v>
                </c:pt>
                <c:pt idx="12">
                  <c:v>5663</c:v>
                </c:pt>
                <c:pt idx="13">
                  <c:v>5135</c:v>
                </c:pt>
                <c:pt idx="14">
                  <c:v>4542</c:v>
                </c:pt>
                <c:pt idx="15">
                  <c:v>4717</c:v>
                </c:pt>
                <c:pt idx="16">
                  <c:v>4694</c:v>
                </c:pt>
              </c:numCache>
            </c:numRef>
          </c:val>
        </c:ser>
        <c:ser>
          <c:idx val="1"/>
          <c:order val="1"/>
          <c:tx>
            <c:strRef>
              <c:f>'02.BS.alt'!$C$29</c:f>
              <c:strCache>
                <c:ptCount val="1"/>
                <c:pt idx="0">
                  <c:v>master's</c:v>
                </c:pt>
              </c:strCache>
            </c:strRef>
          </c:tx>
          <c:spPr>
            <a:ln w="25400">
              <a:noFill/>
            </a:ln>
          </c:spP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'02.BS.alt'!$C$30:$C$46</c:f>
              <c:numCache>
                <c:formatCode>#,##0</c:formatCode>
                <c:ptCount val="17"/>
                <c:pt idx="0">
                  <c:v>10501</c:v>
                </c:pt>
                <c:pt idx="1">
                  <c:v>11127</c:v>
                </c:pt>
                <c:pt idx="2">
                  <c:v>10523</c:v>
                </c:pt>
                <c:pt idx="3">
                  <c:v>10783</c:v>
                </c:pt>
                <c:pt idx="4">
                  <c:v>11825</c:v>
                </c:pt>
                <c:pt idx="5">
                  <c:v>12861</c:v>
                </c:pt>
                <c:pt idx="6">
                  <c:v>15738</c:v>
                </c:pt>
                <c:pt idx="7">
                  <c:v>18810</c:v>
                </c:pt>
                <c:pt idx="8">
                  <c:v>23114</c:v>
                </c:pt>
                <c:pt idx="9">
                  <c:v>24998</c:v>
                </c:pt>
                <c:pt idx="10">
                  <c:v>25153</c:v>
                </c:pt>
                <c:pt idx="11">
                  <c:v>21256</c:v>
                </c:pt>
                <c:pt idx="12">
                  <c:v>17815</c:v>
                </c:pt>
                <c:pt idx="13">
                  <c:v>15198</c:v>
                </c:pt>
                <c:pt idx="14">
                  <c:v>13591</c:v>
                </c:pt>
                <c:pt idx="15">
                  <c:v>13205</c:v>
                </c:pt>
                <c:pt idx="16">
                  <c:v>12679</c:v>
                </c:pt>
              </c:numCache>
            </c:numRef>
          </c:val>
        </c:ser>
        <c:ser>
          <c:idx val="2"/>
          <c:order val="2"/>
          <c:tx>
            <c:strRef>
              <c:f>'02.BS.alt'!$B$29</c:f>
              <c:strCache>
                <c:ptCount val="1"/>
                <c:pt idx="0">
                  <c:v>doctoral</c:v>
                </c:pt>
              </c:strCache>
            </c:strRef>
          </c:tx>
          <c:spPr>
            <a:solidFill>
              <a:schemeClr val="accent1"/>
            </a:solidFill>
            <a:ln w="25400">
              <a:noFill/>
            </a:ln>
          </c:spP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'02.BS.alt'!$B$30:$B$46</c:f>
              <c:numCache>
                <c:formatCode>#,##0</c:formatCode>
                <c:ptCount val="17"/>
                <c:pt idx="0">
                  <c:v>10594</c:v>
                </c:pt>
                <c:pt idx="1">
                  <c:v>10316</c:v>
                </c:pt>
                <c:pt idx="2">
                  <c:v>10473</c:v>
                </c:pt>
                <c:pt idx="3">
                  <c:v>11032</c:v>
                </c:pt>
                <c:pt idx="4">
                  <c:v>12023</c:v>
                </c:pt>
                <c:pt idx="5">
                  <c:v>13175</c:v>
                </c:pt>
                <c:pt idx="6">
                  <c:v>16171</c:v>
                </c:pt>
                <c:pt idx="7">
                  <c:v>18472</c:v>
                </c:pt>
                <c:pt idx="8">
                  <c:v>19916</c:v>
                </c:pt>
                <c:pt idx="9">
                  <c:v>23575</c:v>
                </c:pt>
                <c:pt idx="10">
                  <c:v>23171</c:v>
                </c:pt>
                <c:pt idx="11">
                  <c:v>21455</c:v>
                </c:pt>
                <c:pt idx="12">
                  <c:v>18522</c:v>
                </c:pt>
                <c:pt idx="13">
                  <c:v>16049</c:v>
                </c:pt>
                <c:pt idx="14">
                  <c:v>14528</c:v>
                </c:pt>
                <c:pt idx="15">
                  <c:v>14269</c:v>
                </c:pt>
                <c:pt idx="16">
                  <c:v>15305</c:v>
                </c:pt>
              </c:numCache>
            </c:numRef>
          </c:val>
        </c:ser>
        <c:axId val="129684992"/>
        <c:axId val="129686528"/>
      </c:areaChart>
      <c:catAx>
        <c:axId val="129684992"/>
        <c:scaling>
          <c:orientation val="minMax"/>
        </c:scaling>
        <c:axPos val="b"/>
        <c:numFmt formatCode="General" sourceLinked="1"/>
        <c:tickLblPos val="nextTo"/>
        <c:txPr>
          <a:bodyPr rot="3060000" vert="horz"/>
          <a:lstStyle/>
          <a:p>
            <a:pPr>
              <a:defRPr sz="900"/>
            </a:pPr>
            <a:endParaRPr lang="en-US"/>
          </a:p>
        </c:txPr>
        <c:crossAx val="129686528"/>
        <c:crosses val="autoZero"/>
        <c:auto val="1"/>
        <c:lblAlgn val="ctr"/>
        <c:lblOffset val="100"/>
      </c:catAx>
      <c:valAx>
        <c:axId val="129686528"/>
        <c:scaling>
          <c:orientation val="minMax"/>
        </c:scaling>
        <c:axPos val="l"/>
        <c:majorGridlines/>
        <c:minorGridlines/>
        <c:title>
          <c:tx>
            <c:rich>
              <a:bodyPr/>
              <a:lstStyle/>
              <a:p>
                <a:pPr>
                  <a:defRPr/>
                </a:pPr>
                <a:r>
                  <a:rPr lang="en-US"/>
                  <a:t>% BS by institution type</a:t>
                </a:r>
              </a:p>
            </c:rich>
          </c:tx>
        </c:title>
        <c:numFmt formatCode="0%" sourceLinked="1"/>
        <c:tickLblPos val="nextTo"/>
        <c:txPr>
          <a:bodyPr/>
          <a:lstStyle/>
          <a:p>
            <a:pPr>
              <a:defRPr sz="900"/>
            </a:pPr>
            <a:endParaRPr lang="en-US"/>
          </a:p>
        </c:txPr>
        <c:crossAx val="129684992"/>
        <c:crosses val="autoZero"/>
        <c:crossBetween val="midCat"/>
      </c:valAx>
    </c:plotArea>
    <c:legend>
      <c:legendPos val="r"/>
    </c:legend>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175999163945801"/>
          <c:y val="4.86154324828873E-2"/>
          <c:w val="0.6956785250109645"/>
          <c:h val="0.72791685237459702"/>
        </c:manualLayout>
      </c:layout>
      <c:lineChart>
        <c:grouping val="standard"/>
        <c:ser>
          <c:idx val="1"/>
          <c:order val="0"/>
          <c:tx>
            <c:strRef>
              <c:f>'02.BS.alt'!$B$29</c:f>
              <c:strCache>
                <c:ptCount val="1"/>
                <c:pt idx="0">
                  <c:v>doctoral</c:v>
                </c:pt>
              </c:strCache>
            </c:strRef>
          </c:tx>
          <c:spPr>
            <a:ln>
              <a:solidFill>
                <a:schemeClr val="accent1"/>
              </a:solidFill>
            </a:ln>
          </c:spPr>
          <c:marker>
            <c:symbol val="none"/>
          </c:marke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'02.BS.alt'!$B$30:$B$46</c:f>
              <c:numCache>
                <c:formatCode>#,##0</c:formatCode>
                <c:ptCount val="17"/>
                <c:pt idx="0">
                  <c:v>10594</c:v>
                </c:pt>
                <c:pt idx="1">
                  <c:v>10316</c:v>
                </c:pt>
                <c:pt idx="2">
                  <c:v>10473</c:v>
                </c:pt>
                <c:pt idx="3">
                  <c:v>11032</c:v>
                </c:pt>
                <c:pt idx="4">
                  <c:v>12023</c:v>
                </c:pt>
                <c:pt idx="5">
                  <c:v>13175</c:v>
                </c:pt>
                <c:pt idx="6">
                  <c:v>16171</c:v>
                </c:pt>
                <c:pt idx="7">
                  <c:v>18472</c:v>
                </c:pt>
                <c:pt idx="8">
                  <c:v>19916</c:v>
                </c:pt>
                <c:pt idx="9">
                  <c:v>23575</c:v>
                </c:pt>
                <c:pt idx="10">
                  <c:v>23171</c:v>
                </c:pt>
                <c:pt idx="11">
                  <c:v>21455</c:v>
                </c:pt>
                <c:pt idx="12">
                  <c:v>18522</c:v>
                </c:pt>
                <c:pt idx="13">
                  <c:v>16049</c:v>
                </c:pt>
                <c:pt idx="14">
                  <c:v>14528</c:v>
                </c:pt>
                <c:pt idx="15">
                  <c:v>14269</c:v>
                </c:pt>
                <c:pt idx="16">
                  <c:v>15305</c:v>
                </c:pt>
              </c:numCache>
            </c:numRef>
          </c:val>
        </c:ser>
        <c:ser>
          <c:idx val="2"/>
          <c:order val="1"/>
          <c:tx>
            <c:strRef>
              <c:f>'02.BS.alt'!$C$29</c:f>
              <c:strCache>
                <c:ptCount val="1"/>
                <c:pt idx="0">
                  <c:v>master's</c:v>
                </c:pt>
              </c:strCache>
            </c:strRef>
          </c:tx>
          <c:spPr>
            <a:ln>
              <a:solidFill>
                <a:schemeClr val="accent2"/>
              </a:solidFill>
            </a:ln>
          </c:spPr>
          <c:marker>
            <c:symbol val="none"/>
          </c:marke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'02.BS.alt'!$C$30:$C$46</c:f>
              <c:numCache>
                <c:formatCode>#,##0</c:formatCode>
                <c:ptCount val="17"/>
                <c:pt idx="0">
                  <c:v>10501</c:v>
                </c:pt>
                <c:pt idx="1">
                  <c:v>11127</c:v>
                </c:pt>
                <c:pt idx="2">
                  <c:v>10523</c:v>
                </c:pt>
                <c:pt idx="3">
                  <c:v>10783</c:v>
                </c:pt>
                <c:pt idx="4">
                  <c:v>11825</c:v>
                </c:pt>
                <c:pt idx="5">
                  <c:v>12861</c:v>
                </c:pt>
                <c:pt idx="6">
                  <c:v>15738</c:v>
                </c:pt>
                <c:pt idx="7">
                  <c:v>18810</c:v>
                </c:pt>
                <c:pt idx="8">
                  <c:v>23114</c:v>
                </c:pt>
                <c:pt idx="9">
                  <c:v>24998</c:v>
                </c:pt>
                <c:pt idx="10">
                  <c:v>25153</c:v>
                </c:pt>
                <c:pt idx="11">
                  <c:v>21256</c:v>
                </c:pt>
                <c:pt idx="12">
                  <c:v>17815</c:v>
                </c:pt>
                <c:pt idx="13">
                  <c:v>15198</c:v>
                </c:pt>
                <c:pt idx="14">
                  <c:v>13591</c:v>
                </c:pt>
                <c:pt idx="15">
                  <c:v>13205</c:v>
                </c:pt>
                <c:pt idx="16">
                  <c:v>12679</c:v>
                </c:pt>
              </c:numCache>
            </c:numRef>
          </c:val>
        </c:ser>
        <c:ser>
          <c:idx val="3"/>
          <c:order val="2"/>
          <c:tx>
            <c:strRef>
              <c:f>'02.BS.alt'!$D$29</c:f>
              <c:strCache>
                <c:ptCount val="1"/>
                <c:pt idx="0">
                  <c:v>four-year</c:v>
                </c:pt>
              </c:strCache>
            </c:strRef>
          </c:tx>
          <c:spPr>
            <a:ln>
              <a:solidFill>
                <a:schemeClr val="accent3"/>
              </a:solidFill>
            </a:ln>
          </c:spPr>
          <c:marker>
            <c:symbol val="none"/>
          </c:marker>
          <c:cat>
            <c:strRef>
              <c:f>'02.BS.alt'!$A$30:$A$46</c:f>
              <c:strCache>
                <c:ptCount val="1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strCache>
            </c:strRef>
          </c:cat>
          <c:val>
            <c:numRef>
              <c:f>'02.BS.alt'!$D$30:$D$46</c:f>
              <c:numCache>
                <c:formatCode>#,##0</c:formatCode>
                <c:ptCount val="17"/>
                <c:pt idx="0">
                  <c:v>2465</c:v>
                </c:pt>
                <c:pt idx="1">
                  <c:v>2355</c:v>
                </c:pt>
                <c:pt idx="2">
                  <c:v>2473</c:v>
                </c:pt>
                <c:pt idx="3">
                  <c:v>2506</c:v>
                </c:pt>
                <c:pt idx="4">
                  <c:v>2665</c:v>
                </c:pt>
                <c:pt idx="5">
                  <c:v>2976</c:v>
                </c:pt>
                <c:pt idx="6">
                  <c:v>3565</c:v>
                </c:pt>
                <c:pt idx="7">
                  <c:v>4311</c:v>
                </c:pt>
                <c:pt idx="8">
                  <c:v>5151</c:v>
                </c:pt>
                <c:pt idx="9">
                  <c:v>6236</c:v>
                </c:pt>
                <c:pt idx="10">
                  <c:v>6833</c:v>
                </c:pt>
                <c:pt idx="11">
                  <c:v>6316</c:v>
                </c:pt>
                <c:pt idx="12">
                  <c:v>5663</c:v>
                </c:pt>
                <c:pt idx="13">
                  <c:v>5135</c:v>
                </c:pt>
                <c:pt idx="14">
                  <c:v>4542</c:v>
                </c:pt>
                <c:pt idx="15">
                  <c:v>4717</c:v>
                </c:pt>
                <c:pt idx="16">
                  <c:v>4694</c:v>
                </c:pt>
              </c:numCache>
            </c:numRef>
          </c:val>
        </c:ser>
        <c:marker val="1"/>
        <c:axId val="129643264"/>
        <c:axId val="129644800"/>
      </c:lineChart>
      <c:catAx>
        <c:axId val="129643264"/>
        <c:scaling>
          <c:orientation val="minMax"/>
        </c:scaling>
        <c:axPos val="b"/>
        <c:numFmt formatCode="General" sourceLinked="1"/>
        <c:tickLblPos val="nextTo"/>
        <c:txPr>
          <a:bodyPr rot="3000000" vert="horz"/>
          <a:lstStyle/>
          <a:p>
            <a:pPr>
              <a:defRPr sz="800"/>
            </a:pPr>
            <a:endParaRPr lang="en-US"/>
          </a:p>
        </c:txPr>
        <c:crossAx val="129644800"/>
        <c:crosses val="autoZero"/>
        <c:auto val="1"/>
        <c:lblAlgn val="ctr"/>
        <c:lblOffset val="100"/>
      </c:catAx>
      <c:valAx>
        <c:axId val="129644800"/>
        <c:scaling>
          <c:orientation val="minMax"/>
        </c:scaling>
        <c:axPos val="l"/>
        <c:majorGridlines/>
        <c:title>
          <c:tx>
            <c:rich>
              <a:bodyPr/>
              <a:lstStyle/>
              <a:p>
                <a:pPr>
                  <a:defRPr/>
                </a:pPr>
                <a:r>
                  <a:rPr lang="en-US"/>
                  <a:t># BS by institution type</a:t>
                </a:r>
              </a:p>
            </c:rich>
          </c:tx>
        </c:title>
        <c:numFmt formatCode="#,##0" sourceLinked="1"/>
        <c:majorTickMark val="none"/>
        <c:tickLblPos val="nextTo"/>
        <c:txPr>
          <a:bodyPr/>
          <a:lstStyle/>
          <a:p>
            <a:pPr>
              <a:defRPr sz="800"/>
            </a:pPr>
            <a:endParaRPr lang="en-US"/>
          </a:p>
        </c:txPr>
        <c:crossAx val="129643264"/>
        <c:crosses val="autoZero"/>
        <c:crossBetween val="midCat"/>
      </c:valAx>
    </c:plotArea>
    <c:legend>
      <c:legendPos val="r"/>
      <c:layout>
        <c:manualLayout>
          <c:xMode val="edge"/>
          <c:yMode val="edge"/>
          <c:x val="0.81734670852310465"/>
          <c:y val="0.10830278456892717"/>
          <c:w val="0.18000230030887204"/>
          <c:h val="0.23577497583932724"/>
        </c:manualLayout>
      </c:layout>
      <c:txPr>
        <a:bodyPr/>
        <a:lstStyle/>
        <a:p>
          <a:pPr>
            <a:defRPr sz="900"/>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6115775583300714E-2"/>
          <c:y val="0.1214235391628678"/>
          <c:w val="0.74210655754644861"/>
          <c:h val="0.67500172675783965"/>
        </c:manualLayout>
      </c:layout>
      <c:lineChart>
        <c:grouping val="standard"/>
        <c:ser>
          <c:idx val="0"/>
          <c:order val="0"/>
          <c:tx>
            <c:strRef>
              <c:f>'03.PhD-by-BS'!$B$32</c:f>
              <c:strCache>
                <c:ptCount val="1"/>
                <c:pt idx="0">
                  <c:v>research/doctoral</c:v>
                </c:pt>
              </c:strCache>
            </c:strRef>
          </c:tx>
          <c:marker>
            <c:symbol val="diamond"/>
            <c:size val="5"/>
          </c:marker>
          <c:cat>
            <c:strRef>
              <c:f>'03.PhD-by-BS'!$A$33:$A$43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'03.PhD-by-BS'!$B$33:$B$43</c:f>
              <c:numCache>
                <c:formatCode>#,##0</c:formatCode>
                <c:ptCount val="11"/>
                <c:pt idx="0">
                  <c:v>290</c:v>
                </c:pt>
                <c:pt idx="1">
                  <c:v>278</c:v>
                </c:pt>
                <c:pt idx="2">
                  <c:v>262</c:v>
                </c:pt>
                <c:pt idx="3">
                  <c:v>282</c:v>
                </c:pt>
                <c:pt idx="4">
                  <c:v>278</c:v>
                </c:pt>
                <c:pt idx="5">
                  <c:v>286</c:v>
                </c:pt>
                <c:pt idx="6">
                  <c:v>362</c:v>
                </c:pt>
                <c:pt idx="7">
                  <c:v>424</c:v>
                </c:pt>
                <c:pt idx="8">
                  <c:v>440</c:v>
                </c:pt>
                <c:pt idx="9">
                  <c:v>508</c:v>
                </c:pt>
                <c:pt idx="10">
                  <c:v>509</c:v>
                </c:pt>
              </c:numCache>
            </c:numRef>
          </c:val>
        </c:ser>
        <c:ser>
          <c:idx val="1"/>
          <c:order val="1"/>
          <c:tx>
            <c:strRef>
              <c:f>'03.PhD-by-BS'!$C$32</c:f>
              <c:strCache>
                <c:ptCount val="1"/>
                <c:pt idx="0">
                  <c:v>masters</c:v>
                </c:pt>
              </c:strCache>
            </c:strRef>
          </c:tx>
          <c:marker>
            <c:symbol val="square"/>
            <c:size val="4"/>
          </c:marker>
          <c:cat>
            <c:strRef>
              <c:f>'03.PhD-by-BS'!$A$33:$A$43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'03.PhD-by-BS'!$C$33:$C$43</c:f>
              <c:numCache>
                <c:formatCode>#,##0</c:formatCode>
                <c:ptCount val="11"/>
                <c:pt idx="0">
                  <c:v>51</c:v>
                </c:pt>
                <c:pt idx="1">
                  <c:v>69</c:v>
                </c:pt>
                <c:pt idx="2">
                  <c:v>54</c:v>
                </c:pt>
                <c:pt idx="3">
                  <c:v>62</c:v>
                </c:pt>
                <c:pt idx="4">
                  <c:v>62</c:v>
                </c:pt>
                <c:pt idx="5">
                  <c:v>64</c:v>
                </c:pt>
                <c:pt idx="6">
                  <c:v>63</c:v>
                </c:pt>
                <c:pt idx="7">
                  <c:v>71</c:v>
                </c:pt>
                <c:pt idx="8">
                  <c:v>92</c:v>
                </c:pt>
                <c:pt idx="9">
                  <c:v>94</c:v>
                </c:pt>
                <c:pt idx="10">
                  <c:v>105</c:v>
                </c:pt>
              </c:numCache>
            </c:numRef>
          </c:val>
        </c:ser>
        <c:ser>
          <c:idx val="2"/>
          <c:order val="2"/>
          <c:tx>
            <c:strRef>
              <c:f>'03.PhD-by-BS'!$D$32</c:f>
              <c:strCache>
                <c:ptCount val="1"/>
                <c:pt idx="0">
                  <c:v>four-year</c:v>
                </c:pt>
              </c:strCache>
            </c:strRef>
          </c:tx>
          <c:marker>
            <c:symbol val="triangle"/>
            <c:size val="5"/>
          </c:marker>
          <c:cat>
            <c:strRef>
              <c:f>'03.PhD-by-BS'!$A$33:$A$43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'03.PhD-by-BS'!$D$33:$D$43</c:f>
              <c:numCache>
                <c:formatCode>#,##0</c:formatCode>
                <c:ptCount val="11"/>
                <c:pt idx="0">
                  <c:v>43</c:v>
                </c:pt>
                <c:pt idx="1">
                  <c:v>34</c:v>
                </c:pt>
                <c:pt idx="2">
                  <c:v>44</c:v>
                </c:pt>
                <c:pt idx="3">
                  <c:v>42</c:v>
                </c:pt>
                <c:pt idx="4">
                  <c:v>45</c:v>
                </c:pt>
                <c:pt idx="5">
                  <c:v>49</c:v>
                </c:pt>
                <c:pt idx="6">
                  <c:v>55</c:v>
                </c:pt>
                <c:pt idx="7">
                  <c:v>69</c:v>
                </c:pt>
                <c:pt idx="8">
                  <c:v>69</c:v>
                </c:pt>
                <c:pt idx="9">
                  <c:v>66</c:v>
                </c:pt>
                <c:pt idx="10">
                  <c:v>77</c:v>
                </c:pt>
              </c:numCache>
            </c:numRef>
          </c:val>
        </c:ser>
        <c:ser>
          <c:idx val="3"/>
          <c:order val="3"/>
          <c:tx>
            <c:strRef>
              <c:f>'03.PhD-by-BS'!$E$32</c:f>
              <c:strCache>
                <c:ptCount val="1"/>
                <c:pt idx="0">
                  <c:v>other</c:v>
                </c:pt>
              </c:strCache>
            </c:strRef>
          </c:tx>
          <c:marker>
            <c:symbol val="x"/>
            <c:size val="5"/>
          </c:marker>
          <c:cat>
            <c:strRef>
              <c:f>'03.PhD-by-BS'!$A$33:$A$43</c:f>
              <c:strCache>
                <c:ptCount val="11"/>
                <c:pt idx="0">
                  <c:v>2000</c:v>
                </c:pt>
                <c:pt idx="1">
                  <c:v>2001</c:v>
                </c:pt>
                <c:pt idx="2">
                  <c:v>2002</c:v>
                </c:pt>
                <c:pt idx="3">
                  <c:v>2003</c:v>
                </c:pt>
                <c:pt idx="4">
                  <c:v>2004</c:v>
                </c:pt>
                <c:pt idx="5">
                  <c:v>2005</c:v>
                </c:pt>
                <c:pt idx="6">
                  <c:v>2006</c:v>
                </c:pt>
                <c:pt idx="7">
                  <c:v>2007</c:v>
                </c:pt>
                <c:pt idx="8">
                  <c:v>2008</c:v>
                </c:pt>
                <c:pt idx="9">
                  <c:v>2009</c:v>
                </c:pt>
                <c:pt idx="10">
                  <c:v>2010</c:v>
                </c:pt>
              </c:strCache>
            </c:strRef>
          </c:cat>
          <c:val>
            <c:numRef>
              <c:f>'03.PhD-by-BS'!$E$33:$E$43</c:f>
              <c:numCache>
                <c:formatCode>#,##0</c:formatCode>
                <c:ptCount val="11"/>
                <c:pt idx="0">
                  <c:v>8</c:v>
                </c:pt>
                <c:pt idx="1">
                  <c:v>11</c:v>
                </c:pt>
                <c:pt idx="2">
                  <c:v>9</c:v>
                </c:pt>
                <c:pt idx="3">
                  <c:v>9</c:v>
                </c:pt>
                <c:pt idx="4">
                  <c:v>14</c:v>
                </c:pt>
                <c:pt idx="5">
                  <c:v>16</c:v>
                </c:pt>
                <c:pt idx="6">
                  <c:v>12</c:v>
                </c:pt>
                <c:pt idx="7">
                  <c:v>13</c:v>
                </c:pt>
                <c:pt idx="8">
                  <c:v>17</c:v>
                </c:pt>
                <c:pt idx="9">
                  <c:v>9</c:v>
                </c:pt>
                <c:pt idx="10">
                  <c:v>23</c:v>
                </c:pt>
              </c:numCache>
            </c:numRef>
          </c:val>
        </c:ser>
        <c:marker val="1"/>
        <c:axId val="130781568"/>
        <c:axId val="130783104"/>
      </c:lineChart>
      <c:catAx>
        <c:axId val="130781568"/>
        <c:scaling>
          <c:orientation val="minMax"/>
        </c:scaling>
        <c:axPos val="b"/>
        <c:tickLblPos val="nextTo"/>
        <c:txPr>
          <a:bodyPr rot="3060000"/>
          <a:lstStyle/>
          <a:p>
            <a:pPr>
              <a:defRPr sz="800"/>
            </a:pPr>
            <a:endParaRPr lang="en-US"/>
          </a:p>
        </c:txPr>
        <c:crossAx val="130783104"/>
        <c:crosses val="autoZero"/>
        <c:auto val="1"/>
        <c:lblAlgn val="ctr"/>
        <c:lblOffset val="100"/>
      </c:catAx>
      <c:valAx>
        <c:axId val="130783104"/>
        <c:scaling>
          <c:orientation val="minMax"/>
        </c:scaling>
        <c:axPos val="l"/>
        <c:majorGridlines/>
        <c:title>
          <c:tx>
            <c:rich>
              <a:bodyPr/>
              <a:lstStyle/>
              <a:p>
                <a:pPr>
                  <a:defRPr/>
                </a:pPr>
                <a:r>
                  <a:rPr lang="en-US"/>
                  <a:t>Computer-Science PhDs</a:t>
                </a:r>
              </a:p>
            </c:rich>
          </c:tx>
        </c:title>
        <c:numFmt formatCode="#,##0" sourceLinked="1"/>
        <c:majorTickMark val="none"/>
        <c:tickLblPos val="nextTo"/>
        <c:txPr>
          <a:bodyPr/>
          <a:lstStyle/>
          <a:p>
            <a:pPr>
              <a:defRPr sz="800"/>
            </a:pPr>
            <a:endParaRPr lang="en-US"/>
          </a:p>
        </c:txPr>
        <c:crossAx val="130781568"/>
        <c:crosses val="autoZero"/>
        <c:crossBetween val="midCat"/>
      </c:valAx>
    </c:plotArea>
    <c:legend>
      <c:legendPos val="r"/>
      <c:layout>
        <c:manualLayout>
          <c:xMode val="edge"/>
          <c:yMode val="edge"/>
          <c:x val="0.75901516811216929"/>
          <c:y val="0.30669111566533624"/>
          <c:w val="0.24098483188783101"/>
          <c:h val="0.28616114766476108"/>
        </c:manualLayout>
      </c:layout>
      <c:txPr>
        <a:bodyPr/>
        <a:lstStyle/>
        <a:p>
          <a:pPr>
            <a:defRPr sz="800"/>
          </a:pPr>
          <a:endParaRPr lang="en-US"/>
        </a:p>
      </c:txPr>
    </c:legend>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29227757348769"/>
          <c:y val="5.8327777456648418E-2"/>
          <c:w val="0.72055615768304793"/>
          <c:h val="0.72209106351736474"/>
        </c:manualLayout>
      </c:layout>
      <c:lineChart>
        <c:grouping val="standard"/>
        <c:ser>
          <c:idx val="1"/>
          <c:order val="0"/>
          <c:tx>
            <c:strRef>
              <c:f>'04.sixyears Fig 6'!$B$38</c:f>
              <c:strCache>
                <c:ptCount val="1"/>
                <c:pt idx="0">
                  <c:v>research/doctoral</c:v>
                </c:pt>
              </c:strCache>
            </c:strRef>
          </c:tx>
          <c:spPr>
            <a:ln>
              <a:solidFill>
                <a:schemeClr val="accent1"/>
              </a:solidFill>
            </a:ln>
          </c:spPr>
          <c:marker>
            <c:symbol val="square"/>
            <c:size val="4"/>
            <c:spPr>
              <a:solidFill>
                <a:schemeClr val="accent1"/>
              </a:solidFill>
              <a:ln>
                <a:solidFill>
                  <a:schemeClr val="accent1"/>
                </a:solidFill>
              </a:ln>
            </c:spPr>
          </c:marker>
          <c:cat>
            <c:numRef>
              <c:f>'04.sixyears Fig 6'!$A$39:$A$49</c:f>
              <c:numCache>
                <c:formatCode>General</c:formatCode>
                <c:ptCount val="11"/>
                <c:pt idx="0">
                  <c:v>1994</c:v>
                </c:pt>
                <c:pt idx="1">
                  <c:v>1995</c:v>
                </c:pt>
                <c:pt idx="2">
                  <c:v>1996</c:v>
                </c:pt>
                <c:pt idx="3">
                  <c:v>1997</c:v>
                </c:pt>
                <c:pt idx="4">
                  <c:v>1998</c:v>
                </c:pt>
                <c:pt idx="5">
                  <c:v>1999</c:v>
                </c:pt>
                <c:pt idx="6">
                  <c:v>2000</c:v>
                </c:pt>
                <c:pt idx="7">
                  <c:v>2001</c:v>
                </c:pt>
                <c:pt idx="8">
                  <c:v>2002</c:v>
                </c:pt>
                <c:pt idx="9">
                  <c:v>2003</c:v>
                </c:pt>
                <c:pt idx="10">
                  <c:v>2004</c:v>
                </c:pt>
              </c:numCache>
            </c:numRef>
          </c:cat>
          <c:val>
            <c:numRef>
              <c:f>'04.sixyears Fig 6'!$B$39:$B$49</c:f>
              <c:numCache>
                <c:formatCode>General</c:formatCode>
                <c:ptCount val="11"/>
                <c:pt idx="0">
                  <c:v>3.0236680221040559E-2</c:v>
                </c:pt>
                <c:pt idx="1">
                  <c:v>3.0240400304579602E-2</c:v>
                </c:pt>
                <c:pt idx="2">
                  <c:v>2.7807259605179477E-2</c:v>
                </c:pt>
                <c:pt idx="3">
                  <c:v>2.8012317472931432E-2</c:v>
                </c:pt>
                <c:pt idx="4">
                  <c:v>2.5128807737503391E-2</c:v>
                </c:pt>
                <c:pt idx="5">
                  <c:v>2.3312683403977828E-2</c:v>
                </c:pt>
                <c:pt idx="6">
                  <c:v>2.399575765610501E-2</c:v>
                </c:pt>
                <c:pt idx="7">
                  <c:v>2.4655463162179456E-2</c:v>
                </c:pt>
                <c:pt idx="8">
                  <c:v>2.3777357470953896E-2</c:v>
                </c:pt>
                <c:pt idx="9">
                  <c:v>2.3550136757683932E-2</c:v>
                </c:pt>
                <c:pt idx="10">
                  <c:v>2.4811113819156804E-2</c:v>
                </c:pt>
              </c:numCache>
            </c:numRef>
          </c:val>
        </c:ser>
        <c:ser>
          <c:idx val="2"/>
          <c:order val="1"/>
          <c:tx>
            <c:strRef>
              <c:f>'04.sixyears Fig 6'!$C$38</c:f>
              <c:strCache>
                <c:ptCount val="1"/>
                <c:pt idx="0">
                  <c:v>masters</c:v>
                </c:pt>
              </c:strCache>
            </c:strRef>
          </c:tx>
          <c:spPr>
            <a:ln>
              <a:solidFill>
                <a:schemeClr val="accent2"/>
              </a:solidFill>
            </a:ln>
          </c:spPr>
          <c:marker>
            <c:symbol val="triangle"/>
            <c:size val="4"/>
            <c:spPr>
              <a:solidFill>
                <a:schemeClr val="accent2"/>
              </a:solidFill>
              <a:ln>
                <a:solidFill>
                  <a:schemeClr val="accent2"/>
                </a:solidFill>
              </a:ln>
            </c:spPr>
          </c:marker>
          <c:cat>
            <c:numRef>
              <c:f>'04.sixyears Fig 6'!$A$39:$A$49</c:f>
              <c:numCache>
                <c:formatCode>General</c:formatCode>
                <c:ptCount val="11"/>
                <c:pt idx="0">
                  <c:v>1994</c:v>
                </c:pt>
                <c:pt idx="1">
                  <c:v>1995</c:v>
                </c:pt>
                <c:pt idx="2">
                  <c:v>1996</c:v>
                </c:pt>
                <c:pt idx="3">
                  <c:v>1997</c:v>
                </c:pt>
                <c:pt idx="4">
                  <c:v>1998</c:v>
                </c:pt>
                <c:pt idx="5">
                  <c:v>1999</c:v>
                </c:pt>
                <c:pt idx="6">
                  <c:v>2000</c:v>
                </c:pt>
                <c:pt idx="7">
                  <c:v>2001</c:v>
                </c:pt>
                <c:pt idx="8">
                  <c:v>2002</c:v>
                </c:pt>
                <c:pt idx="9">
                  <c:v>2003</c:v>
                </c:pt>
                <c:pt idx="10">
                  <c:v>2004</c:v>
                </c:pt>
              </c:numCache>
            </c:numRef>
          </c:cat>
          <c:val>
            <c:numRef>
              <c:f>'04.sixyears Fig 6'!$C$39:$C$49</c:f>
              <c:numCache>
                <c:formatCode>General</c:formatCode>
                <c:ptCount val="11"/>
                <c:pt idx="0">
                  <c:v>5.1163723916533071E-3</c:v>
                </c:pt>
                <c:pt idx="1">
                  <c:v>6.8148148148148152E-3</c:v>
                </c:pt>
                <c:pt idx="2">
                  <c:v>5.5658627087198514E-3</c:v>
                </c:pt>
                <c:pt idx="3">
                  <c:v>6.5194532071503799E-3</c:v>
                </c:pt>
                <c:pt idx="4">
                  <c:v>6.0891769789825183E-3</c:v>
                </c:pt>
                <c:pt idx="5">
                  <c:v>5.9740502193596683E-3</c:v>
                </c:pt>
                <c:pt idx="6">
                  <c:v>4.844290657439446E-3</c:v>
                </c:pt>
                <c:pt idx="7">
                  <c:v>4.6932839767318884E-3</c:v>
                </c:pt>
                <c:pt idx="8">
                  <c:v>5.4833710811777528E-3</c:v>
                </c:pt>
                <c:pt idx="9">
                  <c:v>5.2838673412029412E-3</c:v>
                </c:pt>
                <c:pt idx="10">
                  <c:v>5.9405940594059407E-3</c:v>
                </c:pt>
              </c:numCache>
            </c:numRef>
          </c:val>
        </c:ser>
        <c:ser>
          <c:idx val="3"/>
          <c:order val="2"/>
          <c:tx>
            <c:strRef>
              <c:f>'04.sixyears Fig 6'!$D$38</c:f>
              <c:strCache>
                <c:ptCount val="1"/>
                <c:pt idx="0">
                  <c:v>four-year</c:v>
                </c:pt>
              </c:strCache>
            </c:strRef>
          </c:tx>
          <c:spPr>
            <a:ln>
              <a:solidFill>
                <a:schemeClr val="accent3"/>
              </a:solidFill>
            </a:ln>
          </c:spPr>
          <c:marker>
            <c:symbol val="x"/>
            <c:size val="4"/>
            <c:spPr>
              <a:solidFill>
                <a:schemeClr val="accent3"/>
              </a:solidFill>
              <a:ln>
                <a:solidFill>
                  <a:schemeClr val="accent3"/>
                </a:solidFill>
              </a:ln>
            </c:spPr>
          </c:marker>
          <c:cat>
            <c:numRef>
              <c:f>'04.sixyears Fig 6'!$A$39:$A$49</c:f>
              <c:numCache>
                <c:formatCode>General</c:formatCode>
                <c:ptCount val="11"/>
                <c:pt idx="0">
                  <c:v>1994</c:v>
                </c:pt>
                <c:pt idx="1">
                  <c:v>1995</c:v>
                </c:pt>
                <c:pt idx="2">
                  <c:v>1996</c:v>
                </c:pt>
                <c:pt idx="3">
                  <c:v>1997</c:v>
                </c:pt>
                <c:pt idx="4">
                  <c:v>1998</c:v>
                </c:pt>
                <c:pt idx="5">
                  <c:v>1999</c:v>
                </c:pt>
                <c:pt idx="6">
                  <c:v>2000</c:v>
                </c:pt>
                <c:pt idx="7">
                  <c:v>2001</c:v>
                </c:pt>
                <c:pt idx="8">
                  <c:v>2002</c:v>
                </c:pt>
                <c:pt idx="9">
                  <c:v>2003</c:v>
                </c:pt>
                <c:pt idx="10">
                  <c:v>2004</c:v>
                </c:pt>
              </c:numCache>
            </c:numRef>
          </c:cat>
          <c:val>
            <c:numRef>
              <c:f>'04.sixyears Fig 6'!$D$39:$D$49</c:f>
              <c:numCache>
                <c:formatCode>General</c:formatCode>
                <c:ptCount val="11"/>
                <c:pt idx="0">
                  <c:v>1.2617370892018781E-2</c:v>
                </c:pt>
                <c:pt idx="1">
                  <c:v>1.0071090047393365E-2</c:v>
                </c:pt>
                <c:pt idx="2">
                  <c:v>1.1739594450373533E-2</c:v>
                </c:pt>
                <c:pt idx="3">
                  <c:v>1.016702977487292E-2</c:v>
                </c:pt>
                <c:pt idx="4">
                  <c:v>1.0011123470522802E-2</c:v>
                </c:pt>
                <c:pt idx="5">
                  <c:v>9.5201088012434546E-3</c:v>
                </c:pt>
                <c:pt idx="6">
                  <c:v>8.9708041102593665E-3</c:v>
                </c:pt>
                <c:pt idx="7">
                  <c:v>1.007740616328319E-2</c:v>
                </c:pt>
                <c:pt idx="8">
                  <c:v>7.8983516483516533E-3</c:v>
                </c:pt>
                <c:pt idx="9">
                  <c:v>7.1942446043165523E-3</c:v>
                </c:pt>
                <c:pt idx="10">
                  <c:v>8.9296068653601166E-3</c:v>
                </c:pt>
              </c:numCache>
            </c:numRef>
          </c:val>
        </c:ser>
        <c:marker val="1"/>
        <c:axId val="130808448"/>
        <c:axId val="129594112"/>
      </c:lineChart>
      <c:catAx>
        <c:axId val="130808448"/>
        <c:scaling>
          <c:orientation val="minMax"/>
        </c:scaling>
        <c:axPos val="b"/>
        <c:numFmt formatCode="General" sourceLinked="1"/>
        <c:tickLblPos val="nextTo"/>
        <c:txPr>
          <a:bodyPr rot="3060000"/>
          <a:lstStyle/>
          <a:p>
            <a:pPr>
              <a:defRPr sz="700"/>
            </a:pPr>
            <a:endParaRPr lang="en-US"/>
          </a:p>
        </c:txPr>
        <c:crossAx val="129594112"/>
        <c:crosses val="autoZero"/>
        <c:auto val="1"/>
        <c:lblAlgn val="ctr"/>
        <c:lblOffset val="100"/>
      </c:catAx>
      <c:valAx>
        <c:axId val="129594112"/>
        <c:scaling>
          <c:orientation val="minMax"/>
        </c:scaling>
        <c:axPos val="l"/>
        <c:majorGridlines/>
        <c:numFmt formatCode="0.0%" sourceLinked="0"/>
        <c:tickLblPos val="nextTo"/>
        <c:txPr>
          <a:bodyPr/>
          <a:lstStyle/>
          <a:p>
            <a:pPr>
              <a:defRPr sz="800"/>
            </a:pPr>
            <a:endParaRPr lang="en-US"/>
          </a:p>
        </c:txPr>
        <c:crossAx val="130808448"/>
        <c:crosses val="autoZero"/>
        <c:crossBetween val="midCat"/>
      </c:valAx>
    </c:plotArea>
    <c:legend>
      <c:legendPos val="r"/>
      <c:layout>
        <c:manualLayout>
          <c:xMode val="edge"/>
          <c:yMode val="edge"/>
          <c:x val="0.76149108578344482"/>
          <c:y val="2.6809916023924168E-2"/>
          <c:w val="0.23507387870370358"/>
          <c:h val="0.18065047790627328"/>
        </c:manualLayout>
      </c:layout>
      <c:txPr>
        <a:bodyPr/>
        <a:lstStyle/>
        <a:p>
          <a:pPr>
            <a:defRPr sz="800"/>
          </a:pPr>
          <a:endParaRPr lang="en-US"/>
        </a:p>
      </c:txPr>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8.0321741032371011E-2"/>
          <c:y val="5.1400554097404495E-2"/>
          <c:w val="0.89745603674540697"/>
          <c:h val="0.83261956838728501"/>
        </c:manualLayout>
      </c:layout>
      <c:barChart>
        <c:barDir val="col"/>
        <c:grouping val="clustered"/>
        <c:ser>
          <c:idx val="0"/>
          <c:order val="0"/>
          <c:dLbls>
            <c:showVal val="1"/>
          </c:dLbls>
          <c:cat>
            <c:strRef>
              <c:f>'03.PhD-by-BS'!$AI$6:$AM$6</c:f>
              <c:strCache>
                <c:ptCount val="5"/>
                <c:pt idx="0">
                  <c:v>15 or more</c:v>
                </c:pt>
                <c:pt idx="1">
                  <c:v>10 to 15</c:v>
                </c:pt>
                <c:pt idx="2">
                  <c:v>5 to 10</c:v>
                </c:pt>
                <c:pt idx="3">
                  <c:v>2 to 5</c:v>
                </c:pt>
                <c:pt idx="4">
                  <c:v>1 to 2</c:v>
                </c:pt>
              </c:strCache>
            </c:strRef>
          </c:cat>
          <c:val>
            <c:numRef>
              <c:f>'03.PhD-by-BS'!$AI$7:$AM$7</c:f>
              <c:numCache>
                <c:formatCode>General</c:formatCode>
                <c:ptCount val="5"/>
                <c:pt idx="0">
                  <c:v>1</c:v>
                </c:pt>
                <c:pt idx="1">
                  <c:v>3</c:v>
                </c:pt>
                <c:pt idx="2">
                  <c:v>8</c:v>
                </c:pt>
                <c:pt idx="3">
                  <c:v>39</c:v>
                </c:pt>
                <c:pt idx="4">
                  <c:v>67</c:v>
                </c:pt>
              </c:numCache>
            </c:numRef>
          </c:val>
        </c:ser>
        <c:gapWidth val="100"/>
        <c:axId val="129618304"/>
        <c:axId val="129619840"/>
      </c:barChart>
      <c:catAx>
        <c:axId val="129618304"/>
        <c:scaling>
          <c:orientation val="minMax"/>
        </c:scaling>
        <c:axPos val="b"/>
        <c:majorTickMark val="none"/>
        <c:tickLblPos val="nextTo"/>
        <c:txPr>
          <a:bodyPr/>
          <a:lstStyle/>
          <a:p>
            <a:pPr>
              <a:defRPr sz="900"/>
            </a:pPr>
            <a:endParaRPr lang="en-US"/>
          </a:p>
        </c:txPr>
        <c:crossAx val="129619840"/>
        <c:crosses val="autoZero"/>
        <c:auto val="1"/>
        <c:lblAlgn val="ctr"/>
        <c:lblOffset val="100"/>
      </c:catAx>
      <c:valAx>
        <c:axId val="129619840"/>
        <c:scaling>
          <c:orientation val="minMax"/>
        </c:scaling>
        <c:axPos val="l"/>
        <c:majorGridlines/>
        <c:numFmt formatCode="General" sourceLinked="1"/>
        <c:tickLblPos val="nextTo"/>
        <c:txPr>
          <a:bodyPr/>
          <a:lstStyle/>
          <a:p>
            <a:pPr>
              <a:defRPr sz="900"/>
            </a:pPr>
            <a:endParaRPr lang="en-US"/>
          </a:p>
        </c:txPr>
        <c:crossAx val="129618304"/>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5000432130254484E-2"/>
          <c:y val="0.18695720160087342"/>
          <c:w val="0.88315656602212056"/>
          <c:h val="0.52217547982016099"/>
        </c:manualLayout>
      </c:layout>
      <c:barChart>
        <c:barDir val="col"/>
        <c:grouping val="stacked"/>
        <c:ser>
          <c:idx val="0"/>
          <c:order val="0"/>
          <c:tx>
            <c:strRef>
              <c:f>'05.GRF.bacc'!$B$37</c:f>
              <c:strCache>
                <c:ptCount val="1"/>
                <c:pt idx="0">
                  <c:v>research</c:v>
                </c:pt>
              </c:strCache>
            </c:strRef>
          </c:tx>
          <c:cat>
            <c:numRef>
              <c:f>'05.GRF.bacc'!$A$38:$A$47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'05.GRF.bacc'!$B$38:$B$47</c:f>
              <c:numCache>
                <c:formatCode>General</c:formatCode>
                <c:ptCount val="10"/>
                <c:pt idx="0">
                  <c:v>60</c:v>
                </c:pt>
                <c:pt idx="1">
                  <c:v>68</c:v>
                </c:pt>
                <c:pt idx="2">
                  <c:v>64</c:v>
                </c:pt>
                <c:pt idx="3">
                  <c:v>48</c:v>
                </c:pt>
                <c:pt idx="4">
                  <c:v>47</c:v>
                </c:pt>
                <c:pt idx="5">
                  <c:v>42</c:v>
                </c:pt>
                <c:pt idx="6">
                  <c:v>63</c:v>
                </c:pt>
                <c:pt idx="7">
                  <c:v>90</c:v>
                </c:pt>
                <c:pt idx="8">
                  <c:v>96</c:v>
                </c:pt>
                <c:pt idx="9">
                  <c:v>90</c:v>
                </c:pt>
              </c:numCache>
            </c:numRef>
          </c:val>
        </c:ser>
        <c:ser>
          <c:idx val="1"/>
          <c:order val="1"/>
          <c:tx>
            <c:strRef>
              <c:f>'05.GRF.bacc'!$C$37</c:f>
              <c:strCache>
                <c:ptCount val="1"/>
                <c:pt idx="0">
                  <c:v>master's</c:v>
                </c:pt>
              </c:strCache>
            </c:strRef>
          </c:tx>
          <c:cat>
            <c:numRef>
              <c:f>'05.GRF.bacc'!$A$38:$A$47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'05.GRF.bacc'!$C$38:$C$47</c:f>
              <c:numCache>
                <c:formatCode>General</c:formatCode>
                <c:ptCount val="10"/>
                <c:pt idx="0">
                  <c:v>2</c:v>
                </c:pt>
                <c:pt idx="1">
                  <c:v>1</c:v>
                </c:pt>
                <c:pt idx="2">
                  <c:v>4</c:v>
                </c:pt>
                <c:pt idx="3">
                  <c:v>5</c:v>
                </c:pt>
                <c:pt idx="4">
                  <c:v>5</c:v>
                </c:pt>
                <c:pt idx="5">
                  <c:v>3</c:v>
                </c:pt>
                <c:pt idx="6">
                  <c:v>6</c:v>
                </c:pt>
                <c:pt idx="7">
                  <c:v>6</c:v>
                </c:pt>
                <c:pt idx="8">
                  <c:v>6</c:v>
                </c:pt>
                <c:pt idx="9">
                  <c:v>9</c:v>
                </c:pt>
              </c:numCache>
            </c:numRef>
          </c:val>
        </c:ser>
        <c:ser>
          <c:idx val="2"/>
          <c:order val="2"/>
          <c:tx>
            <c:strRef>
              <c:f>'05.GRF.bacc'!$D$37</c:f>
              <c:strCache>
                <c:ptCount val="1"/>
                <c:pt idx="0">
                  <c:v>four-year</c:v>
                </c:pt>
              </c:strCache>
            </c:strRef>
          </c:tx>
          <c:cat>
            <c:numRef>
              <c:f>'05.GRF.bacc'!$A$38:$A$47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'05.GRF.bacc'!$D$38:$D$47</c:f>
              <c:numCache>
                <c:formatCode>General</c:formatCode>
                <c:ptCount val="10"/>
                <c:pt idx="0">
                  <c:v>10</c:v>
                </c:pt>
                <c:pt idx="1">
                  <c:v>5</c:v>
                </c:pt>
                <c:pt idx="2">
                  <c:v>4</c:v>
                </c:pt>
                <c:pt idx="3">
                  <c:v>8</c:v>
                </c:pt>
                <c:pt idx="4">
                  <c:v>1</c:v>
                </c:pt>
                <c:pt idx="5">
                  <c:v>5</c:v>
                </c:pt>
                <c:pt idx="6">
                  <c:v>12</c:v>
                </c:pt>
                <c:pt idx="7">
                  <c:v>7</c:v>
                </c:pt>
                <c:pt idx="8">
                  <c:v>18</c:v>
                </c:pt>
                <c:pt idx="9">
                  <c:v>10</c:v>
                </c:pt>
              </c:numCache>
            </c:numRef>
          </c:val>
        </c:ser>
        <c:ser>
          <c:idx val="4"/>
          <c:order val="3"/>
          <c:tx>
            <c:v>foreign</c:v>
          </c:tx>
          <c:spPr>
            <a:solidFill>
              <a:schemeClr val="tx1"/>
            </a:solidFill>
          </c:spPr>
          <c:cat>
            <c:numRef>
              <c:f>'05.GRF.bacc'!$A$38:$A$47</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'05.GRF.bacc'!$F$38:$F$47</c:f>
              <c:numCache>
                <c:formatCode>General</c:formatCode>
                <c:ptCount val="10"/>
                <c:pt idx="0">
                  <c:v>2</c:v>
                </c:pt>
                <c:pt idx="1">
                  <c:v>3</c:v>
                </c:pt>
                <c:pt idx="2">
                  <c:v>0</c:v>
                </c:pt>
                <c:pt idx="3">
                  <c:v>0</c:v>
                </c:pt>
                <c:pt idx="4">
                  <c:v>1</c:v>
                </c:pt>
                <c:pt idx="5">
                  <c:v>2</c:v>
                </c:pt>
                <c:pt idx="6">
                  <c:v>1</c:v>
                </c:pt>
                <c:pt idx="7">
                  <c:v>0</c:v>
                </c:pt>
                <c:pt idx="8">
                  <c:v>0</c:v>
                </c:pt>
                <c:pt idx="9">
                  <c:v>1</c:v>
                </c:pt>
              </c:numCache>
            </c:numRef>
          </c:val>
        </c:ser>
        <c:gapWidth val="75"/>
        <c:overlap val="100"/>
        <c:axId val="130960384"/>
        <c:axId val="130974464"/>
      </c:barChart>
      <c:catAx>
        <c:axId val="130960384"/>
        <c:scaling>
          <c:orientation val="minMax"/>
        </c:scaling>
        <c:axPos val="b"/>
        <c:numFmt formatCode="General" sourceLinked="1"/>
        <c:majorTickMark val="none"/>
        <c:tickLblPos val="nextTo"/>
        <c:txPr>
          <a:bodyPr/>
          <a:lstStyle/>
          <a:p>
            <a:pPr>
              <a:defRPr sz="900"/>
            </a:pPr>
            <a:endParaRPr lang="en-US"/>
          </a:p>
        </c:txPr>
        <c:crossAx val="130974464"/>
        <c:crosses val="autoZero"/>
        <c:auto val="1"/>
        <c:lblAlgn val="ctr"/>
        <c:lblOffset val="100"/>
      </c:catAx>
      <c:valAx>
        <c:axId val="130974464"/>
        <c:scaling>
          <c:orientation val="minMax"/>
        </c:scaling>
        <c:axPos val="l"/>
        <c:majorGridlines/>
        <c:title>
          <c:tx>
            <c:rich>
              <a:bodyPr rot="-5400000" vert="horz"/>
              <a:lstStyle/>
              <a:p>
                <a:pPr>
                  <a:defRPr/>
                </a:pPr>
                <a:r>
                  <a:rPr lang="en-US"/>
                  <a:t>awards</a:t>
                </a:r>
              </a:p>
            </c:rich>
          </c:tx>
        </c:title>
        <c:numFmt formatCode="General" sourceLinked="1"/>
        <c:majorTickMark val="none"/>
        <c:tickLblPos val="nextTo"/>
        <c:txPr>
          <a:bodyPr/>
          <a:lstStyle/>
          <a:p>
            <a:pPr>
              <a:defRPr sz="900"/>
            </a:pPr>
            <a:endParaRPr lang="en-US"/>
          </a:p>
        </c:txPr>
        <c:crossAx val="130960384"/>
        <c:crosses val="autoZero"/>
        <c:crossBetween val="between"/>
      </c:valAx>
    </c:plotArea>
    <c:legend>
      <c:legendPos val="t"/>
      <c:layout>
        <c:manualLayout>
          <c:xMode val="edge"/>
          <c:yMode val="edge"/>
          <c:x val="0.17864964848937148"/>
          <c:y val="5.9992005870369333E-2"/>
          <c:w val="0.62916414635988482"/>
          <c:h val="9.5671981776765322E-2"/>
        </c:manualLayout>
      </c:layout>
      <c:overlay val="1"/>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0.17686</cdr:x>
      <cdr:y>0.91771</cdr:y>
    </cdr:from>
    <cdr:to>
      <cdr:x>1</cdr:x>
      <cdr:y>1</cdr:y>
    </cdr:to>
    <cdr:sp macro="" textlink="">
      <cdr:nvSpPr>
        <cdr:cNvPr id="2" name="TextBox 1"/>
        <cdr:cNvSpPr txBox="1"/>
      </cdr:nvSpPr>
      <cdr:spPr>
        <a:xfrm xmlns:a="http://schemas.openxmlformats.org/drawingml/2006/main">
          <a:off x="1247484" y="2818330"/>
          <a:ext cx="4316501" cy="2525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Source:</a:t>
          </a:r>
          <a:r>
            <a:rPr lang="en-US" sz="900" baseline="0"/>
            <a:t> NSF (http://webcaspar.nsf.gov</a:t>
          </a:r>
          <a:r>
            <a:rPr lang="en-US" sz="1050" baseline="0"/>
            <a:t>)</a:t>
          </a:r>
        </a:p>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0.02553</cdr:x>
      <cdr:y>0.81818</cdr:y>
    </cdr:from>
    <cdr:to>
      <cdr:x>0.16967</cdr:x>
      <cdr:y>1</cdr:y>
    </cdr:to>
    <cdr:sp macro="" textlink="">
      <cdr:nvSpPr>
        <cdr:cNvPr id="2" name="TextBox 1"/>
        <cdr:cNvSpPr txBox="1"/>
      </cdr:nvSpPr>
      <cdr:spPr>
        <a:xfrm xmlns:a="http://schemas.openxmlformats.org/drawingml/2006/main">
          <a:off x="161925" y="496252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0.10301</cdr:x>
      <cdr:y>0.4256</cdr:y>
    </cdr:from>
    <cdr:to>
      <cdr:x>0.72156</cdr:x>
      <cdr:y>0.4256</cdr:y>
    </cdr:to>
    <cdr:cxnSp macro="">
      <cdr:nvCxnSpPr>
        <cdr:cNvPr id="3" name="Straight Connector 2"/>
        <cdr:cNvCxnSpPr>
          <a:cxnSpLocks xmlns:a="http://schemas.openxmlformats.org/drawingml/2006/main"/>
        </cdr:cNvCxnSpPr>
      </cdr:nvCxnSpPr>
      <cdr:spPr>
        <a:xfrm xmlns:a="http://schemas.openxmlformats.org/drawingml/2006/main" flipV="1">
          <a:off x="653562" y="1781176"/>
          <a:ext cx="3924300" cy="2"/>
        </a:xfrm>
        <a:prstGeom xmlns:a="http://schemas.openxmlformats.org/drawingml/2006/main" prst="line">
          <a:avLst/>
        </a:prstGeom>
        <a:ln xmlns:a="http://schemas.openxmlformats.org/drawingml/2006/main" w="25400">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0.003</cdr:x>
      <cdr:y>0.90338</cdr:y>
    </cdr:from>
    <cdr:to>
      <cdr:x>0.98048</cdr:x>
      <cdr:y>0.96209</cdr:y>
    </cdr:to>
    <cdr:sp macro="" textlink="">
      <cdr:nvSpPr>
        <cdr:cNvPr id="4" name="TextBox 3"/>
        <cdr:cNvSpPr txBox="1"/>
      </cdr:nvSpPr>
      <cdr:spPr>
        <a:xfrm xmlns:a="http://schemas.openxmlformats.org/drawingml/2006/main">
          <a:off x="19059" y="3780773"/>
          <a:ext cx="6201507" cy="2457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Source:</a:t>
          </a:r>
          <a:r>
            <a:rPr lang="en-US" sz="900" baseline="0"/>
            <a:t> National Science Foundation (http://webcaspar.nsf.gov and http://ncses.norg.org/NSFTabEngine)</a:t>
          </a:r>
        </a:p>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0.10599</cdr:x>
      <cdr:y>0.89586</cdr:y>
    </cdr:from>
    <cdr:to>
      <cdr:x>0.891</cdr:x>
      <cdr:y>0.96678</cdr:y>
    </cdr:to>
    <cdr:sp macro="" textlink="">
      <cdr:nvSpPr>
        <cdr:cNvPr id="2" name="TextBox 1"/>
        <cdr:cNvSpPr txBox="1"/>
      </cdr:nvSpPr>
      <cdr:spPr>
        <a:xfrm xmlns:a="http://schemas.openxmlformats.org/drawingml/2006/main">
          <a:off x="565712" y="2876007"/>
          <a:ext cx="4189845" cy="2276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Source: NCSES,</a:t>
          </a:r>
          <a:r>
            <a:rPr lang="en-US" sz="1000" baseline="0"/>
            <a:t> IPEDS Completion Survey (http://webcaspar.nsf.gov)</a:t>
          </a:r>
          <a:endParaRPr 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0.04421</cdr:x>
      <cdr:y>0.79443</cdr:y>
    </cdr:from>
    <cdr:to>
      <cdr:x>0.19055</cdr:x>
      <cdr:y>1</cdr:y>
    </cdr:to>
    <cdr:sp macro="" textlink="">
      <cdr:nvSpPr>
        <cdr:cNvPr id="2" name="TextBox 1"/>
        <cdr:cNvSpPr txBox="1"/>
      </cdr:nvSpPr>
      <cdr:spPr>
        <a:xfrm xmlns:a="http://schemas.openxmlformats.org/drawingml/2006/main">
          <a:off x="276225" y="43053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0.06277</cdr:x>
      <cdr:y>0.90192</cdr:y>
    </cdr:from>
    <cdr:to>
      <cdr:x>0.94839</cdr:x>
      <cdr:y>0.98034</cdr:y>
    </cdr:to>
    <cdr:sp macro="" textlink="">
      <cdr:nvSpPr>
        <cdr:cNvPr id="3" name="TextBox 2"/>
        <cdr:cNvSpPr txBox="1"/>
      </cdr:nvSpPr>
      <cdr:spPr>
        <a:xfrm xmlns:a="http://schemas.openxmlformats.org/drawingml/2006/main">
          <a:off x="300692" y="2635516"/>
          <a:ext cx="4242733" cy="2291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Source: NCSES, IPEDS Completion Survey (http://</a:t>
          </a:r>
          <a:r>
            <a:rPr lang="en-US" sz="900"/>
            <a:t>webcaspar.nsf.gov</a:t>
          </a:r>
          <a:r>
            <a:rPr lang="en-US" sz="1000"/>
            <a:t>)</a:t>
          </a:r>
        </a:p>
        <a:p xmlns:a="http://schemas.openxmlformats.org/drawingml/2006/main">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0.0806</cdr:x>
      <cdr:y>0.91523</cdr:y>
    </cdr:from>
    <cdr:to>
      <cdr:x>0.91356</cdr:x>
      <cdr:y>0.99577</cdr:y>
    </cdr:to>
    <cdr:sp macro="" textlink="">
      <cdr:nvSpPr>
        <cdr:cNvPr id="2" name="TextBox 1"/>
        <cdr:cNvSpPr txBox="1"/>
      </cdr:nvSpPr>
      <cdr:spPr>
        <a:xfrm xmlns:a="http://schemas.openxmlformats.org/drawingml/2006/main">
          <a:off x="389999" y="2650140"/>
          <a:ext cx="4030444" cy="233205"/>
        </a:xfrm>
        <a:prstGeom xmlns:a="http://schemas.openxmlformats.org/drawingml/2006/main" prst="rect">
          <a:avLst/>
        </a:prstGeom>
      </cdr:spPr>
      <cdr:txBody>
        <a:bodyPr xmlns:a="http://schemas.openxmlformats.org/drawingml/2006/main" vertOverflow="clip" horzOverflow="clip" wrap="square" rtlCol="0">
          <a:spAutoFit/>
        </a:bodyPr>
        <a:lstStyle xmlns:a="http://schemas.openxmlformats.org/drawingml/2006/main"/>
        <a:p xmlns:a="http://schemas.openxmlformats.org/drawingml/2006/main">
          <a:r>
            <a:rPr lang="en-US" sz="900"/>
            <a:t>Source: </a:t>
          </a:r>
          <a:r>
            <a:rPr lang="en-US" sz="900" baseline="0"/>
            <a:t> NSF</a:t>
          </a:r>
          <a:r>
            <a:rPr lang="en-US" sz="900"/>
            <a:t>, Survey of Earned</a:t>
          </a:r>
          <a:r>
            <a:rPr lang="en-US" sz="900" baseline="0"/>
            <a:t> Doctorates (http://webcaspar.nsf.gov)</a:t>
          </a:r>
          <a:r>
            <a:rPr lang="en-US" sz="900"/>
            <a:t> </a:t>
          </a:r>
        </a:p>
      </cdr:txBody>
    </cdr:sp>
  </cdr:relSizeAnchor>
</c:userShapes>
</file>

<file path=word/drawings/drawing6.xml><?xml version="1.0" encoding="utf-8"?>
<c:userShapes xmlns:c="http://schemas.openxmlformats.org/drawingml/2006/chart">
  <cdr:relSizeAnchor xmlns:cdr="http://schemas.openxmlformats.org/drawingml/2006/chartDrawing">
    <cdr:from>
      <cdr:x>0.06022</cdr:x>
      <cdr:y>0.90793</cdr:y>
    </cdr:from>
    <cdr:to>
      <cdr:x>0.98499</cdr:x>
      <cdr:y>0.97184</cdr:y>
    </cdr:to>
    <cdr:sp macro="" textlink="">
      <cdr:nvSpPr>
        <cdr:cNvPr id="2" name="TextBox 1"/>
        <cdr:cNvSpPr txBox="1"/>
      </cdr:nvSpPr>
      <cdr:spPr>
        <a:xfrm xmlns:a="http://schemas.openxmlformats.org/drawingml/2006/main">
          <a:off x="336376" y="2705100"/>
          <a:ext cx="5165264" cy="1904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a:effectLst/>
              <a:latin typeface="+mn-lt"/>
              <a:ea typeface="+mn-ea"/>
              <a:cs typeface="+mn-cs"/>
            </a:rPr>
            <a:t>Source: National</a:t>
          </a:r>
          <a:r>
            <a:rPr lang="en-US" sz="800" baseline="0">
              <a:effectLst/>
              <a:latin typeface="+mn-lt"/>
              <a:ea typeface="+mn-ea"/>
              <a:cs typeface="+mn-cs"/>
            </a:rPr>
            <a:t> Center for Education Statistics</a:t>
          </a:r>
          <a:r>
            <a:rPr lang="en-US" sz="800">
              <a:effectLst/>
              <a:latin typeface="+mn-lt"/>
              <a:ea typeface="+mn-ea"/>
              <a:cs typeface="+mn-cs"/>
            </a:rPr>
            <a:t>,</a:t>
          </a:r>
          <a:r>
            <a:rPr lang="en-US" sz="800" baseline="0">
              <a:effectLst/>
              <a:latin typeface="+mn-lt"/>
              <a:ea typeface="+mn-ea"/>
              <a:cs typeface="+mn-cs"/>
            </a:rPr>
            <a:t> IPEDS Completion Survey (http://webcaspar.nsf.gov)</a:t>
          </a:r>
        </a:p>
        <a:p xmlns:a="http://schemas.openxmlformats.org/drawingml/2006/main">
          <a:endParaRPr lang="en-US" sz="1100"/>
        </a:p>
      </cdr:txBody>
    </cdr:sp>
  </cdr:relSizeAnchor>
</c:userShapes>
</file>

<file path=word/drawings/drawing7.xml><?xml version="1.0" encoding="utf-8"?>
<c:userShapes xmlns:c="http://schemas.openxmlformats.org/drawingml/2006/chart">
  <cdr:relSizeAnchor xmlns:cdr="http://schemas.openxmlformats.org/drawingml/2006/chartDrawing">
    <cdr:from>
      <cdr:x>0.86894</cdr:x>
      <cdr:y>0.49123</cdr:y>
    </cdr:from>
    <cdr:to>
      <cdr:x>1</cdr:x>
      <cdr:y>0.67836</cdr:y>
    </cdr:to>
    <cdr:sp macro="" textlink="">
      <cdr:nvSpPr>
        <cdr:cNvPr id="2" name="TextBox 1"/>
        <cdr:cNvSpPr txBox="1"/>
      </cdr:nvSpPr>
      <cdr:spPr>
        <a:xfrm xmlns:a="http://schemas.openxmlformats.org/drawingml/2006/main">
          <a:off x="6853239" y="240030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0.02457</cdr:x>
      <cdr:y>0.81176</cdr:y>
    </cdr:from>
    <cdr:to>
      <cdr:x>0.97611</cdr:x>
      <cdr:y>1</cdr:y>
    </cdr:to>
    <cdr:sp macro="" textlink="">
      <cdr:nvSpPr>
        <cdr:cNvPr id="3" name="TextBox 2"/>
        <cdr:cNvSpPr txBox="1"/>
      </cdr:nvSpPr>
      <cdr:spPr>
        <a:xfrm xmlns:a="http://schemas.openxmlformats.org/drawingml/2006/main">
          <a:off x="171449" y="3943349"/>
          <a:ext cx="663892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0.82051</cdr:y>
    </cdr:from>
    <cdr:to>
      <cdr:x>0.98671</cdr:x>
      <cdr:y>0.9998</cdr:y>
    </cdr:to>
    <cdr:sp macro="" textlink="">
      <cdr:nvSpPr>
        <cdr:cNvPr id="4" name="TextBox 3"/>
        <cdr:cNvSpPr txBox="1"/>
      </cdr:nvSpPr>
      <cdr:spPr>
        <a:xfrm xmlns:a="http://schemas.openxmlformats.org/drawingml/2006/main">
          <a:off x="0" y="2544414"/>
          <a:ext cx="5050631" cy="555973"/>
        </a:xfrm>
        <a:prstGeom xmlns:a="http://schemas.openxmlformats.org/drawingml/2006/main" prst="rect">
          <a:avLst/>
        </a:prstGeom>
      </cdr:spPr>
      <cdr:txBody>
        <a:bodyPr xmlns:a="http://schemas.openxmlformats.org/drawingml/2006/main" vertOverflow="clip" horzOverflow="clip" wrap="square" rtlCol="0">
          <a:noAutofit/>
        </a:bodyPr>
        <a:lstStyle xmlns:a="http://schemas.openxmlformats.org/drawingml/2006/main"/>
        <a:p xmlns:a="http://schemas.openxmlformats.org/drawingml/2006/main">
          <a:r>
            <a:rPr lang="en-US" sz="900"/>
            <a:t>Sources:  National</a:t>
          </a:r>
          <a:r>
            <a:rPr lang="en-US" sz="900" baseline="0"/>
            <a:t> Science Foundation (</a:t>
          </a:r>
          <a:r>
            <a:rPr lang="en-US" sz="900"/>
            <a:t>https://www.fastlane.nsf.gov/grfp) and the Carnegie Foundation (http://classifications.carnegiefoundation.org)</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B35F3-ADFE-4C2F-9243-2FB07B38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dc:creator>
  <cp:lastModifiedBy>seh</cp:lastModifiedBy>
  <cp:revision>14</cp:revision>
  <cp:lastPrinted>2012-12-13T15:31:00Z</cp:lastPrinted>
  <dcterms:created xsi:type="dcterms:W3CDTF">2012-12-11T23:27:00Z</dcterms:created>
  <dcterms:modified xsi:type="dcterms:W3CDTF">2012-12-14T19:45:00Z</dcterms:modified>
</cp:coreProperties>
</file>